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4A5E26" w14:paraId="5EF4DC3A" w14:textId="7777777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4FE3" w14:textId="77777777" w:rsidR="00F52ABE" w:rsidRPr="00C57FE2" w:rsidRDefault="00F52ABE" w:rsidP="00F52ABE">
            <w:pPr>
              <w:spacing w:before="100"/>
              <w:ind w:left="120"/>
              <w:rPr>
                <w:rFonts w:ascii="Arial" w:eastAsia="Calibri" w:hAnsi="Arial" w:cs="Arial"/>
                <w:color w:val="0000D6"/>
                <w:sz w:val="26"/>
                <w:szCs w:val="26"/>
              </w:rPr>
            </w:pPr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C57FE2">
              <w:rPr>
                <w:rFonts w:ascii="Arial" w:eastAsia="Calibri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1492610E" w14:textId="77777777" w:rsidR="00F52ABE" w:rsidRPr="00C57FE2" w:rsidRDefault="00F52ABE" w:rsidP="00F52ABE">
            <w:pPr>
              <w:ind w:left="960"/>
              <w:rPr>
                <w:rFonts w:ascii="Arial" w:eastAsia="Calibri" w:hAnsi="Arial" w:cs="Arial"/>
                <w:i/>
                <w:iCs/>
                <w:color w:val="0000D6"/>
                <w:sz w:val="26"/>
                <w:szCs w:val="26"/>
              </w:rPr>
            </w:pPr>
          </w:p>
          <w:p w14:paraId="4EA2024B" w14:textId="77777777" w:rsidR="00F52ABE" w:rsidRPr="00C57FE2" w:rsidRDefault="00F52ABE" w:rsidP="00F52ABE">
            <w:pPr>
              <w:jc w:val="center"/>
              <w:rPr>
                <w:rFonts w:ascii="Arial" w:eastAsia="Calibri" w:hAnsi="Arial" w:cs="Arial"/>
                <w:i/>
                <w:iCs/>
                <w:color w:val="0000FF"/>
                <w:sz w:val="26"/>
                <w:szCs w:val="26"/>
              </w:rPr>
            </w:pPr>
            <w:r w:rsidRPr="00C57FE2">
              <w:rPr>
                <w:rFonts w:ascii="Arial" w:eastAsia="Calibri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383ED788" w14:textId="77777777" w:rsidR="00F52ABE" w:rsidRDefault="00F52ABE" w:rsidP="00F52ABE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5DDF3F8A" w14:textId="37992C0C" w:rsidR="00F52ABE" w:rsidRDefault="00F52ABE" w:rsidP="00F52ABE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 xml:space="preserve">See </w:t>
            </w:r>
            <w:hyperlink r:id="rId11" w:history="1">
              <w:r w:rsidRPr="00C57FE2">
                <w:rPr>
                  <w:rFonts w:ascii="Arial" w:hAnsi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chapter</w:t>
            </w:r>
            <w:r w:rsidR="001C6801">
              <w:rPr>
                <w:rFonts w:ascii="Arial" w:hAnsi="Arial"/>
                <w:color w:val="0000FF"/>
                <w:sz w:val="26"/>
                <w:szCs w:val="26"/>
              </w:rPr>
              <w:t xml:space="preserve"> 3, section 3.2.4.3, and chapter 5</w:t>
            </w:r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section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5.2.12, footnote 420; </w:t>
            </w:r>
            <w:hyperlink r:id="rId12" w:history="1">
              <w:r w:rsidRPr="00F52ABE">
                <w:rPr>
                  <w:rStyle w:val="Hyperlink"/>
                  <w:rFonts w:ascii="Arial" w:hAnsi="Arial" w:cs="Arial"/>
                  <w:sz w:val="26"/>
                  <w:szCs w:val="26"/>
                </w:rPr>
                <w:t>ADI’s Motion Practice Guide</w:t>
              </w:r>
            </w:hyperlink>
            <w:r w:rsidRPr="00F52ABE">
              <w:rPr>
                <w:rFonts w:ascii="Arial" w:hAnsi="Arial" w:cs="Arial"/>
                <w:color w:val="0000FF"/>
                <w:sz w:val="26"/>
                <w:szCs w:val="26"/>
              </w:rPr>
              <w:t xml:space="preserve">, </w:t>
            </w: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>section II.</w:t>
            </w:r>
            <w:r w:rsidR="001C6801">
              <w:rPr>
                <w:rFonts w:ascii="Arial" w:hAnsi="Arial" w:cs="Arial"/>
                <w:color w:val="0000FF"/>
                <w:sz w:val="26"/>
                <w:szCs w:val="26"/>
              </w:rPr>
              <w:t>B</w:t>
            </w:r>
            <w:r w:rsidRPr="00C57FE2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 w:rsidR="001C6801">
              <w:rPr>
                <w:rFonts w:ascii="Arial" w:hAnsi="Arial" w:cs="Arial"/>
                <w:color w:val="0000FF"/>
                <w:sz w:val="26"/>
                <w:szCs w:val="26"/>
              </w:rPr>
              <w:t>1 [</w:t>
            </w:r>
            <w:r w:rsidR="008E5432">
              <w:rPr>
                <w:rFonts w:ascii="Arial" w:hAnsi="Arial" w:cs="Arial"/>
                <w:color w:val="0000FF"/>
                <w:sz w:val="26"/>
                <w:szCs w:val="26"/>
              </w:rPr>
              <w:t>Completing the Record - A</w:t>
            </w:r>
            <w:r w:rsidR="001C6801">
              <w:rPr>
                <w:rFonts w:ascii="Arial" w:hAnsi="Arial" w:cs="Arial"/>
                <w:color w:val="0000FF"/>
                <w:sz w:val="26"/>
                <w:szCs w:val="26"/>
              </w:rPr>
              <w:t xml:space="preserve">ccess to </w:t>
            </w:r>
            <w:r w:rsidR="008E5432">
              <w:rPr>
                <w:rFonts w:ascii="Arial" w:hAnsi="Arial" w:cs="Arial"/>
                <w:color w:val="0000FF"/>
                <w:sz w:val="26"/>
                <w:szCs w:val="26"/>
              </w:rPr>
              <w:t>C</w:t>
            </w:r>
            <w:r w:rsidR="001C6801">
              <w:rPr>
                <w:rFonts w:ascii="Arial" w:hAnsi="Arial" w:cs="Arial"/>
                <w:color w:val="0000FF"/>
                <w:sz w:val="26"/>
                <w:szCs w:val="26"/>
              </w:rPr>
              <w:t xml:space="preserve">onfidential </w:t>
            </w:r>
            <w:r w:rsidR="008E5432">
              <w:rPr>
                <w:rFonts w:ascii="Arial" w:hAnsi="Arial" w:cs="Arial"/>
                <w:color w:val="0000FF"/>
                <w:sz w:val="26"/>
                <w:szCs w:val="26"/>
              </w:rPr>
              <w:t>R</w:t>
            </w:r>
            <w:r w:rsidR="001C6801">
              <w:rPr>
                <w:rFonts w:ascii="Arial" w:hAnsi="Arial" w:cs="Arial"/>
                <w:color w:val="0000FF"/>
                <w:sz w:val="26"/>
                <w:szCs w:val="26"/>
              </w:rPr>
              <w:t>ecords]</w:t>
            </w:r>
            <w:r w:rsidR="008E5432">
              <w:rPr>
                <w:rFonts w:ascii="Arial" w:hAnsi="Arial" w:cs="Arial"/>
                <w:color w:val="0000FF"/>
                <w:sz w:val="26"/>
                <w:szCs w:val="26"/>
              </w:rPr>
              <w:t xml:space="preserve">; and </w:t>
            </w:r>
            <w:hyperlink r:id="rId13" w:anchor="pitchess" w:history="1">
              <w:r w:rsidR="008E5432" w:rsidRPr="008E5432">
                <w:rPr>
                  <w:rStyle w:val="Hyperlink"/>
                  <w:rFonts w:ascii="Arial" w:hAnsi="Arial" w:cs="Arial"/>
                  <w:sz w:val="26"/>
                  <w:szCs w:val="26"/>
                </w:rPr>
                <w:t>Confidential Records - Appellate Defenders, Inc.</w:t>
              </w:r>
            </w:hyperlink>
            <w:r w:rsidR="008E5432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</w:p>
          <w:p w14:paraId="7975ED9D" w14:textId="77777777" w:rsidR="008E5432" w:rsidRDefault="008E5432" w:rsidP="00F52ABE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08FD5A56" w14:textId="71F241D4" w:rsidR="008E5432" w:rsidRPr="008E5432" w:rsidRDefault="008E5432" w:rsidP="008E5432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See the </w:t>
            </w:r>
            <w:hyperlink r:id="rId14" w:history="1">
              <w:r w:rsidRPr="008E5432">
                <w:rPr>
                  <w:rStyle w:val="Hyperlink"/>
                  <w:rFonts w:ascii="Arial" w:hAnsi="Arial" w:cs="Arial"/>
                  <w:sz w:val="26"/>
                  <w:szCs w:val="26"/>
                </w:rPr>
                <w:t>Fourth Appellate District page</w:t>
              </w:r>
            </w:hyperlink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 for timing of requests. Division One, for example, expects c</w:t>
            </w:r>
            <w:r w:rsidRPr="008E5432">
              <w:rPr>
                <w:rFonts w:ascii="Arial" w:hAnsi="Arial" w:cs="Arial"/>
                <w:color w:val="0000FF"/>
                <w:sz w:val="26"/>
                <w:szCs w:val="26"/>
              </w:rPr>
              <w:t xml:space="preserve">ounsel in criminal appeals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 xml:space="preserve">to </w:t>
            </w:r>
            <w:r w:rsidRPr="008E5432">
              <w:rPr>
                <w:rFonts w:ascii="Arial" w:hAnsi="Arial" w:cs="Arial"/>
                <w:color w:val="0000FF"/>
                <w:sz w:val="26"/>
                <w:szCs w:val="26"/>
              </w:rPr>
              <w:t>file any augment motion within 40 days of record-filing or appointment of counsel.</w:t>
            </w:r>
          </w:p>
          <w:p w14:paraId="20F2B892" w14:textId="7A7F5D05" w:rsidR="008E5432" w:rsidRDefault="008E5432" w:rsidP="00F52ABE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3DCF90DA" w14:textId="77777777" w:rsidR="004A5E26" w:rsidRDefault="004A5E26" w:rsidP="008E5432">
            <w:pPr>
              <w:ind w:left="840"/>
              <w:rPr>
                <w:sz w:val="26"/>
                <w:szCs w:val="26"/>
              </w:rPr>
            </w:pPr>
          </w:p>
        </w:tc>
      </w:tr>
    </w:tbl>
    <w:p w14:paraId="72B17F86" w14:textId="77777777" w:rsidR="004A5E26" w:rsidRDefault="004A5E26" w:rsidP="004A5E26">
      <w:pPr>
        <w:rPr>
          <w:i/>
          <w:iCs/>
          <w:color w:val="0000D6"/>
          <w:sz w:val="26"/>
          <w:szCs w:val="26"/>
        </w:rPr>
      </w:pPr>
    </w:p>
    <w:p w14:paraId="14B0BB54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761DAAFF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108F822B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3BF5FF10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24527F46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1577CC97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34FE4AF8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7312C1CB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19DF48C1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0B3930A8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6DD2CFE8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5FA4507B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34125DE4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4A0C491D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27F7EA94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26175619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328F794E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7CB6FB8D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4FD6322C" w14:textId="77777777" w:rsidR="00DA1665" w:rsidRDefault="00DA1665" w:rsidP="004A5E26">
      <w:pPr>
        <w:rPr>
          <w:i/>
          <w:iCs/>
          <w:color w:val="0000FF"/>
          <w:sz w:val="26"/>
          <w:szCs w:val="26"/>
        </w:rPr>
      </w:pPr>
    </w:p>
    <w:p w14:paraId="02B68926" w14:textId="77777777" w:rsidR="00547AC4" w:rsidRDefault="00547AC4" w:rsidP="004A5E26">
      <w:pPr>
        <w:rPr>
          <w:i/>
          <w:iCs/>
          <w:color w:val="0000FF"/>
          <w:sz w:val="26"/>
          <w:szCs w:val="26"/>
        </w:rPr>
      </w:pPr>
    </w:p>
    <w:p w14:paraId="45E2D662" w14:textId="77777777" w:rsidR="00884712" w:rsidRDefault="00884712" w:rsidP="004A5E26">
      <w:pPr>
        <w:rPr>
          <w:i/>
          <w:iCs/>
          <w:color w:val="0000FF"/>
          <w:sz w:val="26"/>
          <w:szCs w:val="26"/>
        </w:rPr>
      </w:pPr>
    </w:p>
    <w:p w14:paraId="4671F2C7" w14:textId="77777777" w:rsidR="00547AC4" w:rsidRDefault="00547AC4" w:rsidP="00547AC4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[Attorney’s name, bar number</w:t>
      </w:r>
    </w:p>
    <w:p w14:paraId="1C7BA81E" w14:textId="77777777" w:rsidR="00547AC4" w:rsidRDefault="00547AC4" w:rsidP="00547AC4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address and telephone number</w:t>
      </w:r>
    </w:p>
    <w:p w14:paraId="4EED48FC" w14:textId="77777777" w:rsidR="00547AC4" w:rsidRDefault="00547AC4" w:rsidP="00547AC4">
      <w:pPr>
        <w:spacing w:line="307" w:lineRule="atLeast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Email address and fax number if available]</w:t>
      </w:r>
    </w:p>
    <w:p w14:paraId="0015CD55" w14:textId="77777777" w:rsidR="00547AC4" w:rsidRDefault="00547AC4" w:rsidP="00547AC4">
      <w:pPr>
        <w:spacing w:line="307" w:lineRule="atLeast"/>
        <w:rPr>
          <w:sz w:val="26"/>
          <w:szCs w:val="26"/>
        </w:rPr>
      </w:pPr>
    </w:p>
    <w:p w14:paraId="5F72EAED" w14:textId="77777777" w:rsidR="00547AC4" w:rsidRDefault="00547AC4" w:rsidP="00547AC4">
      <w:pPr>
        <w:spacing w:line="307" w:lineRule="atLeast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Attorney for Defendant and Appellant </w:t>
      </w:r>
      <w:r>
        <w:rPr>
          <w:i/>
          <w:iCs/>
          <w:color w:val="0000FF"/>
          <w:sz w:val="26"/>
          <w:szCs w:val="26"/>
        </w:rPr>
        <w:t>[name]</w:t>
      </w:r>
      <w:r>
        <w:rPr>
          <w:i/>
          <w:iCs/>
          <w:sz w:val="26"/>
          <w:szCs w:val="26"/>
        </w:rPr>
        <w:tab/>
      </w:r>
    </w:p>
    <w:p w14:paraId="63948527" w14:textId="77777777" w:rsidR="004A5E26" w:rsidRDefault="004A5E26" w:rsidP="004A5E26">
      <w:pPr>
        <w:rPr>
          <w:b/>
          <w:bCs/>
          <w:color w:val="0000D6"/>
          <w:sz w:val="26"/>
          <w:szCs w:val="26"/>
        </w:rPr>
      </w:pPr>
    </w:p>
    <w:p w14:paraId="475A7C68" w14:textId="77777777" w:rsidR="00547AC4" w:rsidRDefault="00547AC4" w:rsidP="004A5E26">
      <w:pPr>
        <w:rPr>
          <w:b/>
          <w:bCs/>
          <w:color w:val="0000D6"/>
          <w:sz w:val="26"/>
          <w:szCs w:val="26"/>
        </w:rPr>
      </w:pPr>
    </w:p>
    <w:p w14:paraId="53C51E21" w14:textId="77777777" w:rsidR="004A5E26" w:rsidRPr="004A5E26" w:rsidRDefault="004A5E26" w:rsidP="004A5E26">
      <w:pPr>
        <w:jc w:val="center"/>
        <w:rPr>
          <w:b/>
          <w:bCs/>
          <w:sz w:val="26"/>
          <w:szCs w:val="26"/>
        </w:rPr>
      </w:pPr>
      <w:r w:rsidRPr="004A5E26">
        <w:rPr>
          <w:b/>
          <w:bCs/>
          <w:sz w:val="26"/>
          <w:szCs w:val="26"/>
        </w:rPr>
        <w:t>IN THE COURT OF APPEAL OF THE STATE OF CALIFORNIA</w:t>
      </w:r>
    </w:p>
    <w:p w14:paraId="4C21C695" w14:textId="77777777" w:rsidR="004A5E26" w:rsidRPr="004A5E26" w:rsidRDefault="004A5E26" w:rsidP="004A5E26">
      <w:pPr>
        <w:jc w:val="center"/>
        <w:rPr>
          <w:b/>
          <w:bCs/>
          <w:sz w:val="26"/>
          <w:szCs w:val="26"/>
        </w:rPr>
      </w:pPr>
    </w:p>
    <w:p w14:paraId="46CC1FDD" w14:textId="77777777" w:rsidR="004A5E26" w:rsidRPr="004A5E26" w:rsidRDefault="004A5E26" w:rsidP="004A5E26">
      <w:pPr>
        <w:jc w:val="center"/>
        <w:rPr>
          <w:b/>
          <w:bCs/>
          <w:sz w:val="26"/>
          <w:szCs w:val="26"/>
        </w:rPr>
      </w:pPr>
      <w:r w:rsidRPr="004A5E26">
        <w:rPr>
          <w:b/>
          <w:bCs/>
          <w:sz w:val="26"/>
          <w:szCs w:val="26"/>
        </w:rPr>
        <w:t>FOURTH APPELLATE DISTRICT</w:t>
      </w:r>
    </w:p>
    <w:p w14:paraId="1FEF440B" w14:textId="77777777" w:rsidR="004A5E26" w:rsidRPr="004A5E26" w:rsidRDefault="004A5E26" w:rsidP="004A5E26">
      <w:pPr>
        <w:jc w:val="center"/>
        <w:rPr>
          <w:b/>
          <w:bCs/>
          <w:sz w:val="26"/>
          <w:szCs w:val="26"/>
        </w:rPr>
      </w:pPr>
    </w:p>
    <w:p w14:paraId="39121CE8" w14:textId="77777777" w:rsidR="004A5E26" w:rsidRDefault="004A5E26" w:rsidP="004A5E26">
      <w:pPr>
        <w:jc w:val="center"/>
        <w:rPr>
          <w:b/>
          <w:bCs/>
          <w:i/>
          <w:iCs/>
          <w:color w:val="0000FF"/>
          <w:sz w:val="26"/>
          <w:szCs w:val="26"/>
        </w:rPr>
      </w:pPr>
      <w:r w:rsidRPr="004A5E26">
        <w:rPr>
          <w:b/>
          <w:bCs/>
          <w:sz w:val="26"/>
          <w:szCs w:val="26"/>
        </w:rPr>
        <w:t xml:space="preserve">DIVISION </w:t>
      </w:r>
      <w:r>
        <w:rPr>
          <w:b/>
          <w:bCs/>
          <w:i/>
          <w:iCs/>
          <w:color w:val="0000FF"/>
          <w:sz w:val="26"/>
          <w:szCs w:val="26"/>
        </w:rPr>
        <w:t>[NUMBER]</w:t>
      </w:r>
    </w:p>
    <w:p w14:paraId="06EBD1FE" w14:textId="77777777" w:rsidR="004A5E26" w:rsidRDefault="004A5E26" w:rsidP="004A5E26">
      <w:pPr>
        <w:rPr>
          <w:color w:val="0000D6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4A5E26" w14:paraId="41FD74D4" w14:textId="77777777">
        <w:trPr>
          <w:cantSplit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E3AB5B" w14:textId="77777777" w:rsidR="004A5E26" w:rsidRPr="004A5E26" w:rsidRDefault="004A5E26">
            <w:pPr>
              <w:spacing w:before="120"/>
              <w:rPr>
                <w:sz w:val="26"/>
                <w:szCs w:val="26"/>
              </w:rPr>
            </w:pPr>
            <w:r w:rsidRPr="004A5E26">
              <w:rPr>
                <w:sz w:val="26"/>
                <w:szCs w:val="26"/>
              </w:rPr>
              <w:t>THE PEOPLE OF THE STATE OF CALIFORNIA,</w:t>
            </w:r>
          </w:p>
          <w:p w14:paraId="7C3190BB" w14:textId="77777777" w:rsidR="004A5E26" w:rsidRPr="004A5E26" w:rsidRDefault="004A5E26">
            <w:pPr>
              <w:rPr>
                <w:sz w:val="26"/>
                <w:szCs w:val="26"/>
              </w:rPr>
            </w:pPr>
            <w:r w:rsidRPr="004A5E26">
              <w:rPr>
                <w:sz w:val="26"/>
                <w:szCs w:val="26"/>
              </w:rPr>
              <w:t>Plaintiff and Respondent,</w:t>
            </w:r>
          </w:p>
          <w:p w14:paraId="148A4B80" w14:textId="77777777" w:rsidR="004A5E26" w:rsidRDefault="004A5E26">
            <w:pPr>
              <w:rPr>
                <w:color w:val="0000D6"/>
                <w:sz w:val="26"/>
                <w:szCs w:val="26"/>
              </w:rPr>
            </w:pPr>
          </w:p>
          <w:p w14:paraId="187F20D4" w14:textId="77777777" w:rsidR="004A5E26" w:rsidRPr="004A5E26" w:rsidRDefault="004A5E26">
            <w:pPr>
              <w:rPr>
                <w:sz w:val="26"/>
                <w:szCs w:val="26"/>
              </w:rPr>
            </w:pPr>
            <w:r w:rsidRPr="004A5E26">
              <w:rPr>
                <w:sz w:val="26"/>
                <w:szCs w:val="26"/>
              </w:rPr>
              <w:t xml:space="preserve">v.  </w:t>
            </w:r>
          </w:p>
          <w:p w14:paraId="601B28C0" w14:textId="77777777" w:rsidR="004A5E26" w:rsidRDefault="004A5E26">
            <w:pPr>
              <w:rPr>
                <w:color w:val="0000D6"/>
                <w:sz w:val="26"/>
                <w:szCs w:val="26"/>
              </w:rPr>
            </w:pPr>
          </w:p>
          <w:p w14:paraId="0CF72F63" w14:textId="23E3F0DE" w:rsidR="004A5E26" w:rsidRDefault="004A5E26">
            <w:pPr>
              <w:rPr>
                <w:sz w:val="26"/>
                <w:szCs w:val="26"/>
              </w:rPr>
            </w:pPr>
            <w:r>
              <w:rPr>
                <w:rStyle w:val="QuickFormat1"/>
              </w:rPr>
              <w:t>[</w:t>
            </w:r>
            <w:r w:rsidR="00547AC4">
              <w:rPr>
                <w:rStyle w:val="QuickFormat1"/>
              </w:rPr>
              <w:t>NAME</w:t>
            </w:r>
            <w:r>
              <w:rPr>
                <w:rStyle w:val="QuickFormat1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01E19015" w14:textId="77777777" w:rsidR="004A5E26" w:rsidRDefault="004A5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Defendant and Appellant.</w:t>
            </w:r>
          </w:p>
          <w:p w14:paraId="45612210" w14:textId="77777777" w:rsidR="004A5E26" w:rsidRDefault="004A5E26">
            <w:pPr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648EA4" w14:textId="77777777" w:rsidR="004A5E26" w:rsidRDefault="004A5E26">
            <w:pPr>
              <w:spacing w:before="120"/>
              <w:rPr>
                <w:sz w:val="26"/>
                <w:szCs w:val="26"/>
              </w:rPr>
            </w:pPr>
          </w:p>
          <w:p w14:paraId="3EC0F75B" w14:textId="77777777" w:rsidR="004A5E26" w:rsidRDefault="004A5E26">
            <w:pPr>
              <w:rPr>
                <w:sz w:val="26"/>
                <w:szCs w:val="26"/>
              </w:rPr>
            </w:pPr>
          </w:p>
          <w:p w14:paraId="0BDE265E" w14:textId="77777777" w:rsidR="004A5E26" w:rsidRDefault="004A5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Court of Appeal</w:t>
            </w:r>
          </w:p>
          <w:p w14:paraId="6472A27D" w14:textId="77777777" w:rsidR="004A5E26" w:rsidRDefault="004A5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  <w:p w14:paraId="1CD0740C" w14:textId="77777777" w:rsidR="004A5E26" w:rsidRDefault="004A5E26">
            <w:pPr>
              <w:rPr>
                <w:sz w:val="26"/>
                <w:szCs w:val="26"/>
              </w:rPr>
            </w:pPr>
          </w:p>
          <w:p w14:paraId="0400B3A6" w14:textId="77777777" w:rsidR="004A5E26" w:rsidRDefault="004A5E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Superior Court</w:t>
            </w:r>
          </w:p>
          <w:p w14:paraId="29F89F21" w14:textId="77777777" w:rsidR="004A5E26" w:rsidRDefault="004A5E26">
            <w:pPr>
              <w:spacing w:after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No. </w:t>
            </w:r>
            <w:r>
              <w:rPr>
                <w:i/>
                <w:iCs/>
                <w:color w:val="0000D6"/>
                <w:sz w:val="26"/>
                <w:szCs w:val="26"/>
              </w:rPr>
              <w:t>[number]</w:t>
            </w:r>
          </w:p>
        </w:tc>
      </w:tr>
    </w:tbl>
    <w:p w14:paraId="3377B991" w14:textId="77777777" w:rsidR="004A5E26" w:rsidRDefault="004A5E26" w:rsidP="00546802">
      <w:pPr>
        <w:jc w:val="center"/>
        <w:rPr>
          <w:sz w:val="26"/>
          <w:szCs w:val="26"/>
        </w:rPr>
      </w:pPr>
    </w:p>
    <w:p w14:paraId="5AB0F1A0" w14:textId="77777777" w:rsidR="00546802" w:rsidRDefault="005D79CB" w:rsidP="00546802">
      <w:pPr>
        <w:ind w:right="720"/>
        <w:jc w:val="center"/>
        <w:rPr>
          <w:b/>
          <w:bCs/>
          <w:sz w:val="26"/>
          <w:szCs w:val="26"/>
        </w:rPr>
      </w:pPr>
      <w:r w:rsidRPr="004671DE">
        <w:rPr>
          <w:b/>
          <w:bCs/>
          <w:sz w:val="26"/>
          <w:szCs w:val="26"/>
        </w:rPr>
        <w:t xml:space="preserve">REQUEST TO AUGMENT RECORD </w:t>
      </w:r>
      <w:r w:rsidR="008F47E7" w:rsidRPr="004671DE">
        <w:rPr>
          <w:b/>
          <w:bCs/>
          <w:sz w:val="26"/>
          <w:szCs w:val="26"/>
        </w:rPr>
        <w:t xml:space="preserve">FOR </w:t>
      </w:r>
    </w:p>
    <w:p w14:paraId="1316AD45" w14:textId="0DA05386" w:rsidR="005D79CB" w:rsidRPr="004671DE" w:rsidRDefault="008F47E7" w:rsidP="00546802">
      <w:pPr>
        <w:ind w:right="720"/>
        <w:jc w:val="center"/>
        <w:rPr>
          <w:sz w:val="26"/>
          <w:szCs w:val="26"/>
        </w:rPr>
      </w:pPr>
      <w:r w:rsidRPr="004671DE">
        <w:rPr>
          <w:b/>
          <w:bCs/>
          <w:i/>
          <w:sz w:val="26"/>
          <w:szCs w:val="26"/>
        </w:rPr>
        <w:t xml:space="preserve">PITCHESS </w:t>
      </w:r>
      <w:r w:rsidRPr="004671DE">
        <w:rPr>
          <w:b/>
          <w:bCs/>
          <w:sz w:val="26"/>
          <w:szCs w:val="26"/>
        </w:rPr>
        <w:t>MATERIAL</w:t>
      </w:r>
    </w:p>
    <w:p w14:paraId="6801EF61" w14:textId="77777777" w:rsidR="004A5E26" w:rsidRDefault="004A5E26" w:rsidP="004A5E26">
      <w:pPr>
        <w:ind w:left="720" w:right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F782EBC" w14:textId="41477E13" w:rsidR="004A5E26" w:rsidRDefault="000A6F5B" w:rsidP="00546802">
      <w:pPr>
        <w:rPr>
          <w:b/>
          <w:bCs/>
          <w:sz w:val="26"/>
          <w:szCs w:val="26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6"/>
          <w:szCs w:val="26"/>
        </w:rPr>
        <w:t>Appellant’s Request for Augmentation of the Record</w:t>
      </w:r>
      <w:r w:rsidR="006A2EFC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 w:rsidR="006A2EFC">
        <w:rPr>
          <w:b/>
          <w:bCs/>
          <w:sz w:val="26"/>
          <w:szCs w:val="26"/>
        </w:rPr>
        <w:t>to Be Transmitted Only to the Court of Appeal, to Include</w:t>
      </w:r>
      <w:r>
        <w:rPr>
          <w:b/>
          <w:bCs/>
          <w:sz w:val="26"/>
          <w:szCs w:val="26"/>
        </w:rPr>
        <w:t xml:space="preserve"> Confidential Records </w:t>
      </w:r>
      <w:r w:rsidR="006A2EFC">
        <w:rPr>
          <w:b/>
          <w:bCs/>
          <w:sz w:val="26"/>
          <w:szCs w:val="26"/>
        </w:rPr>
        <w:t xml:space="preserve">of (1) the Proceeding Under </w:t>
      </w:r>
      <w:r w:rsidR="006A2EFC" w:rsidRPr="006A2EFC">
        <w:rPr>
          <w:b/>
          <w:bCs/>
          <w:i/>
          <w:sz w:val="26"/>
          <w:szCs w:val="26"/>
        </w:rPr>
        <w:t>Pitchess v. Superior Court</w:t>
      </w:r>
      <w:r w:rsidR="006A2EFC" w:rsidRPr="006A2EFC">
        <w:rPr>
          <w:b/>
          <w:bCs/>
          <w:sz w:val="26"/>
          <w:szCs w:val="26"/>
        </w:rPr>
        <w:t xml:space="preserve"> (1974) 11 Cal.3d 531</w:t>
      </w:r>
      <w:r w:rsidR="006A2EF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and (2) Documents Reviewed During the Hearing, Or, If the Documents Were Not Preserved, a Settled Statement </w:t>
      </w:r>
      <w:r w:rsidR="00B041C8">
        <w:rPr>
          <w:b/>
          <w:bCs/>
          <w:sz w:val="26"/>
          <w:szCs w:val="26"/>
        </w:rPr>
        <w:t>Concerning Them</w:t>
      </w:r>
    </w:p>
    <w:p w14:paraId="4D295CF3" w14:textId="77777777" w:rsidR="00546802" w:rsidRDefault="00546802" w:rsidP="00546802">
      <w:pPr>
        <w:rPr>
          <w:b/>
          <w:bCs/>
          <w:sz w:val="26"/>
          <w:szCs w:val="26"/>
          <w:u w:val="single"/>
        </w:rPr>
      </w:pPr>
    </w:p>
    <w:p w14:paraId="70A5C559" w14:textId="604312D2" w:rsidR="00FF5006" w:rsidRDefault="004A5E26" w:rsidP="004A5E26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Under </w:t>
      </w:r>
      <w:r w:rsidR="00547AC4">
        <w:rPr>
          <w:sz w:val="26"/>
          <w:szCs w:val="26"/>
        </w:rPr>
        <w:t xml:space="preserve">California Rules of Court, </w:t>
      </w:r>
      <w:r>
        <w:rPr>
          <w:sz w:val="26"/>
          <w:szCs w:val="26"/>
        </w:rPr>
        <w:t xml:space="preserve">rules </w:t>
      </w:r>
      <w:r w:rsidR="00C06DDF">
        <w:rPr>
          <w:sz w:val="26"/>
          <w:szCs w:val="26"/>
        </w:rPr>
        <w:t xml:space="preserve">8.45(d)(2), </w:t>
      </w:r>
      <w:r>
        <w:rPr>
          <w:sz w:val="26"/>
          <w:szCs w:val="26"/>
        </w:rPr>
        <w:t xml:space="preserve">8.155(a) and [8.340(c) </w:t>
      </w:r>
      <w:r>
        <w:rPr>
          <w:color w:val="008000"/>
          <w:sz w:val="26"/>
          <w:szCs w:val="26"/>
        </w:rPr>
        <w:t>/ 8.410 / 8.416(d)</w:t>
      </w:r>
      <w:r>
        <w:rPr>
          <w:sz w:val="26"/>
          <w:szCs w:val="26"/>
        </w:rPr>
        <w:t xml:space="preserve">] </w:t>
      </w:r>
      <w:r w:rsidR="00547AC4">
        <w:rPr>
          <w:sz w:val="26"/>
          <w:szCs w:val="26"/>
        </w:rPr>
        <w:t>(rule or rules)</w:t>
      </w:r>
      <w:r>
        <w:rPr>
          <w:sz w:val="26"/>
          <w:szCs w:val="26"/>
        </w:rPr>
        <w:t xml:space="preserve">, appellant requests an order augmenting the record on appeal as specified below. </w:t>
      </w:r>
    </w:p>
    <w:p w14:paraId="2290ECA2" w14:textId="46C5F821" w:rsidR="00EC42B5" w:rsidRDefault="00FF5006" w:rsidP="00EC42B5">
      <w:pPr>
        <w:spacing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The </w:t>
      </w:r>
      <w:r w:rsidR="00547AC4">
        <w:rPr>
          <w:sz w:val="26"/>
          <w:szCs w:val="26"/>
        </w:rPr>
        <w:t xml:space="preserve">trial </w:t>
      </w:r>
      <w:r>
        <w:rPr>
          <w:sz w:val="26"/>
          <w:szCs w:val="26"/>
        </w:rPr>
        <w:t>court conducted an in</w:t>
      </w:r>
      <w:r w:rsidR="0013106E">
        <w:rPr>
          <w:sz w:val="26"/>
          <w:szCs w:val="26"/>
        </w:rPr>
        <w:t>-</w:t>
      </w:r>
      <w:r>
        <w:rPr>
          <w:sz w:val="26"/>
          <w:szCs w:val="26"/>
        </w:rPr>
        <w:t xml:space="preserve">camera review after granting appellant’s motion </w:t>
      </w:r>
      <w:r w:rsidR="009872FD">
        <w:rPr>
          <w:sz w:val="26"/>
          <w:szCs w:val="26"/>
        </w:rPr>
        <w:t xml:space="preserve">for such a review </w:t>
      </w:r>
      <w:r>
        <w:rPr>
          <w:sz w:val="26"/>
          <w:szCs w:val="26"/>
        </w:rPr>
        <w:t xml:space="preserve">under </w:t>
      </w:r>
      <w:r>
        <w:rPr>
          <w:i/>
          <w:sz w:val="26"/>
          <w:szCs w:val="26"/>
        </w:rPr>
        <w:t>Pitchess v. Superior Court</w:t>
      </w:r>
      <w:r>
        <w:rPr>
          <w:sz w:val="26"/>
          <w:szCs w:val="26"/>
        </w:rPr>
        <w:t xml:space="preserve"> (1974) 11 Cal.3d 531</w:t>
      </w:r>
      <w:r w:rsidR="00454062">
        <w:rPr>
          <w:sz w:val="26"/>
          <w:szCs w:val="26"/>
        </w:rPr>
        <w:t xml:space="preserve"> (</w:t>
      </w:r>
      <w:r w:rsidR="00454062" w:rsidRPr="00454062">
        <w:rPr>
          <w:i/>
          <w:sz w:val="26"/>
          <w:szCs w:val="26"/>
        </w:rPr>
        <w:t>Pitchess</w:t>
      </w:r>
      <w:r w:rsidR="00454062">
        <w:rPr>
          <w:sz w:val="26"/>
          <w:szCs w:val="26"/>
        </w:rPr>
        <w:t>)</w:t>
      </w:r>
      <w:r>
        <w:rPr>
          <w:sz w:val="26"/>
          <w:szCs w:val="26"/>
        </w:rPr>
        <w:t>. After this review, the court</w:t>
      </w:r>
      <w:r w:rsidR="00547AC4">
        <w:rPr>
          <w:sz w:val="26"/>
          <w:szCs w:val="26"/>
        </w:rPr>
        <w:t xml:space="preserve"> </w:t>
      </w:r>
      <w:r w:rsidR="00547AC4">
        <w:rPr>
          <w:i/>
          <w:iCs/>
          <w:color w:val="0000D6"/>
          <w:sz w:val="26"/>
          <w:szCs w:val="26"/>
        </w:rPr>
        <w:t>[denied disclosure of a</w:t>
      </w:r>
      <w:r w:rsidR="00BF7F48">
        <w:rPr>
          <w:i/>
          <w:iCs/>
          <w:color w:val="0000D6"/>
          <w:sz w:val="26"/>
          <w:szCs w:val="26"/>
        </w:rPr>
        <w:t>n</w:t>
      </w:r>
      <w:r w:rsidR="00547AC4">
        <w:rPr>
          <w:i/>
          <w:iCs/>
          <w:color w:val="0000D6"/>
          <w:sz w:val="26"/>
          <w:szCs w:val="26"/>
        </w:rPr>
        <w:t>y documents / or granted the requested disclosure in part]</w:t>
      </w:r>
      <w:r w:rsidR="009E440F">
        <w:rPr>
          <w:sz w:val="26"/>
          <w:szCs w:val="26"/>
        </w:rPr>
        <w:t>. Because the lower court’s in</w:t>
      </w:r>
      <w:r w:rsidR="0013106E">
        <w:rPr>
          <w:sz w:val="26"/>
          <w:szCs w:val="26"/>
        </w:rPr>
        <w:t>-</w:t>
      </w:r>
      <w:r w:rsidR="009E440F">
        <w:rPr>
          <w:sz w:val="26"/>
          <w:szCs w:val="26"/>
        </w:rPr>
        <w:t>camera review is sealed, an appellate court, upon request, is required to review the sealed record to determine whether the lower court abused its dis</w:t>
      </w:r>
      <w:r w:rsidR="005966AD">
        <w:rPr>
          <w:sz w:val="26"/>
          <w:szCs w:val="26"/>
        </w:rPr>
        <w:t xml:space="preserve">cretion by concluding there was </w:t>
      </w:r>
      <w:r w:rsidR="00547AC4">
        <w:rPr>
          <w:i/>
          <w:iCs/>
          <w:color w:val="0000D6"/>
          <w:sz w:val="26"/>
          <w:szCs w:val="26"/>
        </w:rPr>
        <w:t>[no relevant discoverable information to turn over to the defense / or limited relevant discoverable information to turn over to the defense]</w:t>
      </w:r>
      <w:r w:rsidR="005966AD">
        <w:rPr>
          <w:sz w:val="26"/>
          <w:szCs w:val="26"/>
        </w:rPr>
        <w:t>.</w:t>
      </w:r>
      <w:r w:rsidR="009E440F">
        <w:rPr>
          <w:sz w:val="26"/>
          <w:szCs w:val="26"/>
        </w:rPr>
        <w:t xml:space="preserve">  (</w:t>
      </w:r>
      <w:r w:rsidR="009E440F">
        <w:rPr>
          <w:i/>
          <w:sz w:val="26"/>
          <w:szCs w:val="26"/>
        </w:rPr>
        <w:t xml:space="preserve">People v. Prince </w:t>
      </w:r>
      <w:r w:rsidR="009E440F">
        <w:rPr>
          <w:sz w:val="26"/>
          <w:szCs w:val="26"/>
        </w:rPr>
        <w:t>(2007) 40 Cal.4</w:t>
      </w:r>
      <w:r w:rsidR="00756679">
        <w:rPr>
          <w:sz w:val="26"/>
          <w:szCs w:val="26"/>
        </w:rPr>
        <w:t>th</w:t>
      </w:r>
      <w:r w:rsidR="009E440F">
        <w:rPr>
          <w:sz w:val="26"/>
          <w:szCs w:val="26"/>
        </w:rPr>
        <w:t xml:space="preserve"> 1179, 1284-1286; </w:t>
      </w:r>
      <w:r w:rsidR="009E440F">
        <w:rPr>
          <w:i/>
          <w:sz w:val="26"/>
          <w:szCs w:val="26"/>
        </w:rPr>
        <w:t xml:space="preserve">People v. Hughes </w:t>
      </w:r>
      <w:r w:rsidR="009E440F">
        <w:rPr>
          <w:sz w:val="26"/>
          <w:szCs w:val="26"/>
        </w:rPr>
        <w:t>(2002) 27 Cal.4</w:t>
      </w:r>
      <w:r w:rsidR="00756679">
        <w:rPr>
          <w:sz w:val="26"/>
          <w:szCs w:val="26"/>
        </w:rPr>
        <w:t>th</w:t>
      </w:r>
      <w:r w:rsidR="009E440F">
        <w:rPr>
          <w:sz w:val="26"/>
          <w:szCs w:val="26"/>
        </w:rPr>
        <w:t xml:space="preserve"> 287, 330; </w:t>
      </w:r>
      <w:r w:rsidR="009E440F">
        <w:rPr>
          <w:i/>
          <w:sz w:val="26"/>
          <w:szCs w:val="26"/>
        </w:rPr>
        <w:t>People v. Samayoa</w:t>
      </w:r>
      <w:r w:rsidR="009E440F">
        <w:rPr>
          <w:sz w:val="26"/>
          <w:szCs w:val="26"/>
        </w:rPr>
        <w:t xml:space="preserve"> (1997) 15 Cal.4</w:t>
      </w:r>
      <w:r w:rsidR="00756679">
        <w:rPr>
          <w:sz w:val="26"/>
          <w:szCs w:val="26"/>
        </w:rPr>
        <w:t>th</w:t>
      </w:r>
      <w:r w:rsidR="009E440F">
        <w:rPr>
          <w:sz w:val="26"/>
          <w:szCs w:val="26"/>
        </w:rPr>
        <w:t xml:space="preserve"> 795, 827</w:t>
      </w:r>
      <w:r w:rsidR="00EC42B5">
        <w:rPr>
          <w:sz w:val="26"/>
          <w:szCs w:val="26"/>
        </w:rPr>
        <w:t>.)</w:t>
      </w:r>
      <w:r>
        <w:rPr>
          <w:sz w:val="26"/>
          <w:szCs w:val="26"/>
        </w:rPr>
        <w:t xml:space="preserve"> </w:t>
      </w:r>
    </w:p>
    <w:p w14:paraId="2CD2BBB9" w14:textId="77777777" w:rsidR="00F903D4" w:rsidRDefault="004A5E26" w:rsidP="00F903D4">
      <w:pPr>
        <w:spacing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Appellate counsel must exercise diligence in investigating all</w:t>
      </w:r>
      <w:r w:rsidR="00454062">
        <w:rPr>
          <w:sz w:val="26"/>
          <w:szCs w:val="26"/>
        </w:rPr>
        <w:t xml:space="preserve"> </w:t>
      </w:r>
      <w:r>
        <w:rPr>
          <w:sz w:val="26"/>
          <w:szCs w:val="26"/>
        </w:rPr>
        <w:t>potential arguably meritorious issues suggested by the record on appeal</w:t>
      </w:r>
      <w:r w:rsidR="00BB4A39">
        <w:rPr>
          <w:sz w:val="26"/>
          <w:szCs w:val="26"/>
        </w:rPr>
        <w:t>,</w:t>
      </w:r>
      <w:r>
        <w:rPr>
          <w:sz w:val="26"/>
          <w:szCs w:val="26"/>
        </w:rPr>
        <w:t xml:space="preserve"> to augment that record based on suggestions of appellant and inferences contained in the appellate record</w:t>
      </w:r>
      <w:r w:rsidR="00BB4A39">
        <w:rPr>
          <w:sz w:val="26"/>
          <w:szCs w:val="26"/>
        </w:rPr>
        <w:t>, and to ensure the record is perfected for appellate review</w:t>
      </w:r>
      <w:r>
        <w:rPr>
          <w:sz w:val="26"/>
          <w:szCs w:val="26"/>
        </w:rPr>
        <w:t>. This request is necessary to discharge that duty. (</w:t>
      </w:r>
      <w:r w:rsidR="005D14BC">
        <w:rPr>
          <w:i/>
          <w:sz w:val="26"/>
          <w:szCs w:val="26"/>
        </w:rPr>
        <w:t xml:space="preserve">People v. Rodriguez </w:t>
      </w:r>
      <w:r w:rsidR="005D14BC">
        <w:rPr>
          <w:sz w:val="26"/>
          <w:szCs w:val="26"/>
        </w:rPr>
        <w:t>(2011) 193 Cal.App.4</w:t>
      </w:r>
      <w:r w:rsidR="00C100B5">
        <w:rPr>
          <w:sz w:val="26"/>
          <w:szCs w:val="26"/>
        </w:rPr>
        <w:t>th</w:t>
      </w:r>
      <w:r w:rsidR="005D14BC">
        <w:rPr>
          <w:sz w:val="26"/>
          <w:szCs w:val="26"/>
        </w:rPr>
        <w:t xml:space="preserve"> 360, 366 [urging appellate counsel to perfect appellate record </w:t>
      </w:r>
      <w:r w:rsidR="00FB5C18">
        <w:rPr>
          <w:sz w:val="26"/>
          <w:szCs w:val="26"/>
        </w:rPr>
        <w:t xml:space="preserve">under former rule 8.328(c) procedure, </w:t>
      </w:r>
      <w:r w:rsidR="005D14BC">
        <w:rPr>
          <w:sz w:val="26"/>
          <w:szCs w:val="26"/>
        </w:rPr>
        <w:t xml:space="preserve">so court can conduct independent review of </w:t>
      </w:r>
      <w:r w:rsidR="005D14BC">
        <w:rPr>
          <w:i/>
          <w:sz w:val="26"/>
          <w:szCs w:val="26"/>
        </w:rPr>
        <w:t>Pitchess</w:t>
      </w:r>
      <w:r w:rsidR="005D14BC">
        <w:rPr>
          <w:sz w:val="26"/>
          <w:szCs w:val="26"/>
        </w:rPr>
        <w:t xml:space="preserve"> hearing]; s</w:t>
      </w:r>
      <w:r>
        <w:rPr>
          <w:sz w:val="26"/>
          <w:szCs w:val="26"/>
        </w:rPr>
        <w:t>ee</w:t>
      </w:r>
      <w:r w:rsidR="00547DF2">
        <w:rPr>
          <w:sz w:val="26"/>
          <w:szCs w:val="26"/>
        </w:rPr>
        <w:t xml:space="preserve"> </w:t>
      </w:r>
      <w:r w:rsidR="00547DF2">
        <w:rPr>
          <w:i/>
          <w:sz w:val="26"/>
          <w:szCs w:val="26"/>
        </w:rPr>
        <w:t xml:space="preserve">People v. Gaston </w:t>
      </w:r>
      <w:r w:rsidR="00547DF2">
        <w:rPr>
          <w:sz w:val="26"/>
          <w:szCs w:val="26"/>
        </w:rPr>
        <w:t>(1978) 20 Cal.3d 476, 484-485</w:t>
      </w:r>
      <w:r w:rsidR="0013106E">
        <w:rPr>
          <w:sz w:val="26"/>
          <w:szCs w:val="26"/>
        </w:rPr>
        <w:t>.</w:t>
      </w:r>
      <w:r>
        <w:rPr>
          <w:sz w:val="26"/>
          <w:szCs w:val="26"/>
        </w:rPr>
        <w:t>)</w:t>
      </w:r>
    </w:p>
    <w:p w14:paraId="2B787CE1" w14:textId="77777777" w:rsidR="00BA3390" w:rsidRDefault="00BD2224" w:rsidP="00BD2224">
      <w:pPr>
        <w:keepNext/>
        <w:keepLines/>
        <w:spacing w:line="48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A.</w:t>
      </w:r>
      <w:r>
        <w:rPr>
          <w:b/>
          <w:bCs/>
          <w:sz w:val="26"/>
          <w:szCs w:val="26"/>
        </w:rPr>
        <w:tab/>
      </w:r>
      <w:r w:rsidR="004A5E26" w:rsidRPr="00BD2224">
        <w:rPr>
          <w:b/>
          <w:bCs/>
          <w:sz w:val="26"/>
          <w:szCs w:val="26"/>
        </w:rPr>
        <w:t xml:space="preserve">Clerk’s transcript </w:t>
      </w:r>
    </w:p>
    <w:p w14:paraId="485B80F4" w14:textId="77777777" w:rsidR="00E34A6C" w:rsidRPr="0062071B" w:rsidRDefault="00C100B5" w:rsidP="00A82A24">
      <w:pPr>
        <w:keepNext/>
        <w:keepLines/>
        <w:spacing w:line="480" w:lineRule="auto"/>
        <w:ind w:firstLine="720"/>
        <w:rPr>
          <w:sz w:val="26"/>
          <w:szCs w:val="26"/>
        </w:rPr>
      </w:pPr>
      <w:r>
        <w:rPr>
          <w:bCs/>
          <w:sz w:val="26"/>
          <w:szCs w:val="26"/>
        </w:rPr>
        <w:t>Appellant requests the augmented record include a</w:t>
      </w:r>
      <w:r w:rsidR="00E76DB6" w:rsidRPr="0062071B">
        <w:rPr>
          <w:sz w:val="26"/>
          <w:szCs w:val="26"/>
        </w:rPr>
        <w:t xml:space="preserve"> sealed clerk’s transcript of records</w:t>
      </w:r>
      <w:r w:rsidR="00BA3390" w:rsidRPr="0062071B">
        <w:rPr>
          <w:sz w:val="26"/>
          <w:szCs w:val="26"/>
        </w:rPr>
        <w:t xml:space="preserve"> reviewed and considered by the</w:t>
      </w:r>
      <w:r w:rsidR="00E61855" w:rsidRPr="0062071B">
        <w:rPr>
          <w:sz w:val="26"/>
          <w:szCs w:val="26"/>
        </w:rPr>
        <w:t xml:space="preserve"> trial</w:t>
      </w:r>
      <w:r w:rsidR="00BA3390" w:rsidRPr="0062071B">
        <w:rPr>
          <w:sz w:val="26"/>
          <w:szCs w:val="26"/>
        </w:rPr>
        <w:t xml:space="preserve"> court during its in</w:t>
      </w:r>
      <w:r w:rsidR="0013106E">
        <w:rPr>
          <w:sz w:val="26"/>
          <w:szCs w:val="26"/>
        </w:rPr>
        <w:t>-</w:t>
      </w:r>
      <w:r w:rsidR="00BA3390" w:rsidRPr="0062071B">
        <w:rPr>
          <w:sz w:val="26"/>
          <w:szCs w:val="26"/>
        </w:rPr>
        <w:t xml:space="preserve">camera hearing, conducted </w:t>
      </w:r>
      <w:r w:rsidR="00A82A24">
        <w:rPr>
          <w:sz w:val="26"/>
          <w:szCs w:val="26"/>
        </w:rPr>
        <w:t>under</w:t>
      </w:r>
      <w:r w:rsidR="00BA3390" w:rsidRPr="0062071B">
        <w:rPr>
          <w:sz w:val="26"/>
          <w:szCs w:val="26"/>
        </w:rPr>
        <w:t xml:space="preserve"> </w:t>
      </w:r>
      <w:r w:rsidR="00BA3390" w:rsidRPr="0062071B">
        <w:rPr>
          <w:i/>
          <w:sz w:val="26"/>
          <w:szCs w:val="26"/>
        </w:rPr>
        <w:t>Pitchess v. Superior Court</w:t>
      </w:r>
      <w:r w:rsidR="00454062">
        <w:rPr>
          <w:i/>
          <w:sz w:val="26"/>
          <w:szCs w:val="26"/>
        </w:rPr>
        <w:t xml:space="preserve">, supra, </w:t>
      </w:r>
      <w:r w:rsidR="00BA3390" w:rsidRPr="0062071B">
        <w:rPr>
          <w:sz w:val="26"/>
          <w:szCs w:val="26"/>
        </w:rPr>
        <w:t>11 Cal.3d 531.</w:t>
      </w:r>
      <w:r w:rsidR="00D32721" w:rsidRPr="0062071B">
        <w:rPr>
          <w:sz w:val="26"/>
          <w:szCs w:val="26"/>
        </w:rPr>
        <w:t xml:space="preserve"> These records</w:t>
      </w:r>
      <w:r w:rsidR="00527A64" w:rsidRPr="0062071B">
        <w:rPr>
          <w:sz w:val="26"/>
          <w:szCs w:val="26"/>
        </w:rPr>
        <w:t xml:space="preserve"> were produced for </w:t>
      </w:r>
      <w:r w:rsidR="00454062">
        <w:rPr>
          <w:sz w:val="26"/>
          <w:szCs w:val="26"/>
        </w:rPr>
        <w:t xml:space="preserve">the Honorable </w:t>
      </w:r>
      <w:r w:rsidR="00527A64" w:rsidRPr="001542BB">
        <w:rPr>
          <w:i/>
          <w:color w:val="0000FF"/>
          <w:sz w:val="26"/>
          <w:szCs w:val="26"/>
        </w:rPr>
        <w:t>[</w:t>
      </w:r>
      <w:r w:rsidR="00454062">
        <w:rPr>
          <w:i/>
          <w:color w:val="0000FF"/>
          <w:sz w:val="26"/>
          <w:szCs w:val="26"/>
        </w:rPr>
        <w:t>name of judge</w:t>
      </w:r>
      <w:r w:rsidR="00624402" w:rsidRPr="001542BB">
        <w:rPr>
          <w:i/>
          <w:color w:val="0000FF"/>
          <w:sz w:val="26"/>
          <w:szCs w:val="26"/>
        </w:rPr>
        <w:t>]</w:t>
      </w:r>
      <w:r w:rsidR="00454062">
        <w:rPr>
          <w:sz w:val="26"/>
          <w:szCs w:val="26"/>
        </w:rPr>
        <w:t>, judge, by the c</w:t>
      </w:r>
      <w:r w:rsidR="00624402" w:rsidRPr="0062071B">
        <w:rPr>
          <w:sz w:val="26"/>
          <w:szCs w:val="26"/>
        </w:rPr>
        <w:t>ustodian</w:t>
      </w:r>
      <w:r w:rsidR="00527A64" w:rsidRPr="0062071B">
        <w:rPr>
          <w:sz w:val="26"/>
          <w:szCs w:val="26"/>
        </w:rPr>
        <w:t xml:space="preserve"> of </w:t>
      </w:r>
      <w:r w:rsidR="00454062">
        <w:rPr>
          <w:sz w:val="26"/>
          <w:szCs w:val="26"/>
        </w:rPr>
        <w:t>r</w:t>
      </w:r>
      <w:r w:rsidR="00527A64" w:rsidRPr="0062071B">
        <w:rPr>
          <w:sz w:val="26"/>
          <w:szCs w:val="26"/>
        </w:rPr>
        <w:t>ecords</w:t>
      </w:r>
      <w:r w:rsidR="00454062">
        <w:rPr>
          <w:sz w:val="26"/>
          <w:szCs w:val="26"/>
        </w:rPr>
        <w:t>,</w:t>
      </w:r>
      <w:r w:rsidR="00527A64" w:rsidRPr="0062071B">
        <w:rPr>
          <w:sz w:val="26"/>
          <w:szCs w:val="26"/>
        </w:rPr>
        <w:t xml:space="preserve"> </w:t>
      </w:r>
      <w:r w:rsidR="00527A64" w:rsidRPr="001542BB">
        <w:rPr>
          <w:i/>
          <w:color w:val="0000FF"/>
          <w:sz w:val="26"/>
          <w:szCs w:val="26"/>
        </w:rPr>
        <w:t>[</w:t>
      </w:r>
      <w:r w:rsidR="00212038" w:rsidRPr="001542BB">
        <w:rPr>
          <w:i/>
          <w:color w:val="0000FF"/>
          <w:sz w:val="26"/>
          <w:szCs w:val="26"/>
        </w:rPr>
        <w:t>identify custodian</w:t>
      </w:r>
      <w:r w:rsidR="00527A64" w:rsidRPr="001542BB">
        <w:rPr>
          <w:i/>
          <w:color w:val="0000FF"/>
          <w:sz w:val="26"/>
          <w:szCs w:val="26"/>
        </w:rPr>
        <w:t>]</w:t>
      </w:r>
      <w:r w:rsidR="00527A64" w:rsidRPr="0062071B">
        <w:rPr>
          <w:sz w:val="26"/>
          <w:szCs w:val="26"/>
        </w:rPr>
        <w:t>. (</w:t>
      </w:r>
      <w:r w:rsidR="00527A64" w:rsidRPr="0062071B">
        <w:rPr>
          <w:i/>
          <w:sz w:val="26"/>
          <w:szCs w:val="26"/>
        </w:rPr>
        <w:t>People v. Mooc</w:t>
      </w:r>
      <w:r w:rsidR="00527A64" w:rsidRPr="0062071B">
        <w:rPr>
          <w:sz w:val="26"/>
          <w:szCs w:val="26"/>
        </w:rPr>
        <w:t xml:space="preserve"> (2001) 26 Cal.4</w:t>
      </w:r>
      <w:r>
        <w:rPr>
          <w:sz w:val="26"/>
          <w:szCs w:val="26"/>
        </w:rPr>
        <w:t>th</w:t>
      </w:r>
      <w:r w:rsidR="00527A64" w:rsidRPr="0062071B">
        <w:rPr>
          <w:sz w:val="26"/>
          <w:szCs w:val="26"/>
        </w:rPr>
        <w:t xml:space="preserve"> 1216, 1228-1229 [</w:t>
      </w:r>
      <w:r w:rsidR="00E61855" w:rsidRPr="0062071B">
        <w:rPr>
          <w:sz w:val="26"/>
          <w:szCs w:val="26"/>
        </w:rPr>
        <w:t xml:space="preserve">copies of items reviewed by trial court during </w:t>
      </w:r>
      <w:r w:rsidR="00E61855" w:rsidRPr="0062071B">
        <w:rPr>
          <w:i/>
          <w:sz w:val="26"/>
          <w:szCs w:val="26"/>
        </w:rPr>
        <w:t>Pitchess</w:t>
      </w:r>
      <w:r w:rsidR="00E61855" w:rsidRPr="0062071B">
        <w:rPr>
          <w:sz w:val="26"/>
          <w:szCs w:val="26"/>
        </w:rPr>
        <w:t xml:space="preserve"> hearing may be retained in confidential file].)</w:t>
      </w:r>
    </w:p>
    <w:p w14:paraId="1795AC42" w14:textId="77777777" w:rsidR="00230BF6" w:rsidRDefault="00E34A6C" w:rsidP="00230BF6">
      <w:pPr>
        <w:keepNext/>
        <w:spacing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These records must be sealed and transmitted </w:t>
      </w:r>
      <w:r w:rsidR="0060713A">
        <w:rPr>
          <w:sz w:val="26"/>
          <w:szCs w:val="26"/>
        </w:rPr>
        <w:t>only to the Court of Appeal</w:t>
      </w:r>
      <w:r>
        <w:rPr>
          <w:sz w:val="26"/>
          <w:szCs w:val="26"/>
        </w:rPr>
        <w:t>. (</w:t>
      </w:r>
      <w:r>
        <w:rPr>
          <w:i/>
          <w:sz w:val="26"/>
          <w:szCs w:val="26"/>
        </w:rPr>
        <w:t>People v. Hughes, supra</w:t>
      </w:r>
      <w:r>
        <w:rPr>
          <w:sz w:val="26"/>
          <w:szCs w:val="26"/>
        </w:rPr>
        <w:t>, 27 Cal.4</w:t>
      </w:r>
      <w:r w:rsidRPr="00F63C46">
        <w:rPr>
          <w:sz w:val="26"/>
          <w:szCs w:val="26"/>
        </w:rPr>
        <w:t>th</w:t>
      </w:r>
      <w:r>
        <w:rPr>
          <w:sz w:val="26"/>
          <w:szCs w:val="26"/>
        </w:rPr>
        <w:t xml:space="preserve"> at p. 330</w:t>
      </w:r>
      <w:r w:rsidR="00C83B06">
        <w:rPr>
          <w:sz w:val="26"/>
          <w:szCs w:val="26"/>
        </w:rPr>
        <w:t>; rule 8.45(d)(2)</w:t>
      </w:r>
      <w:r>
        <w:rPr>
          <w:sz w:val="26"/>
          <w:szCs w:val="26"/>
        </w:rPr>
        <w:t>.)</w:t>
      </w:r>
    </w:p>
    <w:p w14:paraId="317387D8" w14:textId="71F9CF61" w:rsidR="004A5E26" w:rsidRDefault="004A5E26" w:rsidP="00230BF6">
      <w:pPr>
        <w:keepNext/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B. </w:t>
      </w:r>
      <w:r>
        <w:rPr>
          <w:b/>
          <w:bCs/>
          <w:sz w:val="26"/>
          <w:szCs w:val="26"/>
        </w:rPr>
        <w:tab/>
        <w:t>Reporter’s transcript</w:t>
      </w:r>
    </w:p>
    <w:p w14:paraId="382F421C" w14:textId="2984AD60" w:rsidR="005F35E1" w:rsidRDefault="00A82A24" w:rsidP="00DB6EC0">
      <w:pPr>
        <w:tabs>
          <w:tab w:val="left" w:pos="720"/>
        </w:tabs>
        <w:spacing w:line="48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6F181A">
        <w:rPr>
          <w:bCs/>
          <w:sz w:val="26"/>
          <w:szCs w:val="26"/>
        </w:rPr>
        <w:t xml:space="preserve">Appellant </w:t>
      </w:r>
      <w:r w:rsidR="00D73E5B">
        <w:rPr>
          <w:bCs/>
          <w:sz w:val="26"/>
          <w:szCs w:val="26"/>
        </w:rPr>
        <w:t>also</w:t>
      </w:r>
      <w:r w:rsidR="006F181A">
        <w:rPr>
          <w:bCs/>
          <w:sz w:val="26"/>
          <w:szCs w:val="26"/>
        </w:rPr>
        <w:t xml:space="preserve"> requests a</w:t>
      </w:r>
      <w:r w:rsidR="00DB6EC0">
        <w:rPr>
          <w:bCs/>
          <w:sz w:val="26"/>
          <w:szCs w:val="26"/>
        </w:rPr>
        <w:t xml:space="preserve"> sealed reporter’s transcript of the in</w:t>
      </w:r>
      <w:r w:rsidR="0013106E">
        <w:rPr>
          <w:bCs/>
          <w:sz w:val="26"/>
          <w:szCs w:val="26"/>
        </w:rPr>
        <w:t>-</w:t>
      </w:r>
      <w:r w:rsidR="00DB6EC0">
        <w:rPr>
          <w:bCs/>
          <w:sz w:val="26"/>
          <w:szCs w:val="26"/>
        </w:rPr>
        <w:t xml:space="preserve">camera review conducted </w:t>
      </w:r>
      <w:r w:rsidR="006F181A">
        <w:rPr>
          <w:bCs/>
          <w:sz w:val="26"/>
          <w:szCs w:val="26"/>
        </w:rPr>
        <w:t>under</w:t>
      </w:r>
      <w:r w:rsidR="00DB6EC0">
        <w:rPr>
          <w:bCs/>
          <w:sz w:val="26"/>
          <w:szCs w:val="26"/>
        </w:rPr>
        <w:t xml:space="preserve"> </w:t>
      </w:r>
      <w:r w:rsidR="00DB6EC0">
        <w:rPr>
          <w:bCs/>
          <w:i/>
          <w:sz w:val="26"/>
          <w:szCs w:val="26"/>
        </w:rPr>
        <w:t>Pitchess v. Superior Court</w:t>
      </w:r>
      <w:r w:rsidR="00454062">
        <w:rPr>
          <w:bCs/>
          <w:i/>
          <w:sz w:val="26"/>
          <w:szCs w:val="26"/>
        </w:rPr>
        <w:t xml:space="preserve">, supra, </w:t>
      </w:r>
      <w:r w:rsidR="00DB6EC0">
        <w:rPr>
          <w:bCs/>
          <w:sz w:val="26"/>
          <w:szCs w:val="26"/>
        </w:rPr>
        <w:t xml:space="preserve">11 Cal.3d 531 on </w:t>
      </w:r>
      <w:r w:rsidR="00DB6EC0" w:rsidRPr="00054D75">
        <w:rPr>
          <w:bCs/>
          <w:i/>
          <w:color w:val="0000FF"/>
          <w:sz w:val="26"/>
          <w:szCs w:val="26"/>
        </w:rPr>
        <w:t>[date of hearing]</w:t>
      </w:r>
      <w:r w:rsidR="00DB6EC0" w:rsidRPr="00054D75">
        <w:rPr>
          <w:bCs/>
          <w:color w:val="0000FF"/>
          <w:sz w:val="26"/>
          <w:szCs w:val="26"/>
        </w:rPr>
        <w:t xml:space="preserve"> </w:t>
      </w:r>
      <w:r w:rsidR="00DB6EC0">
        <w:rPr>
          <w:bCs/>
          <w:sz w:val="26"/>
          <w:szCs w:val="26"/>
        </w:rPr>
        <w:t xml:space="preserve">before </w:t>
      </w:r>
      <w:r w:rsidR="00923D6E">
        <w:rPr>
          <w:bCs/>
          <w:sz w:val="26"/>
          <w:szCs w:val="26"/>
        </w:rPr>
        <w:t>J</w:t>
      </w:r>
      <w:r w:rsidR="00BC05E4">
        <w:rPr>
          <w:bCs/>
          <w:sz w:val="26"/>
          <w:szCs w:val="26"/>
        </w:rPr>
        <w:t>udge</w:t>
      </w:r>
      <w:r w:rsidR="00DB6EC0">
        <w:rPr>
          <w:bCs/>
          <w:sz w:val="26"/>
          <w:szCs w:val="26"/>
        </w:rPr>
        <w:t xml:space="preserve"> </w:t>
      </w:r>
      <w:r w:rsidR="00DB6EC0" w:rsidRPr="00054D75">
        <w:rPr>
          <w:bCs/>
          <w:i/>
          <w:color w:val="0000FF"/>
          <w:sz w:val="26"/>
          <w:szCs w:val="26"/>
        </w:rPr>
        <w:t xml:space="preserve">[name of </w:t>
      </w:r>
      <w:r w:rsidR="00454062">
        <w:rPr>
          <w:bCs/>
          <w:i/>
          <w:color w:val="0000FF"/>
          <w:sz w:val="26"/>
          <w:szCs w:val="26"/>
        </w:rPr>
        <w:t>j</w:t>
      </w:r>
      <w:r w:rsidR="00DB6EC0" w:rsidRPr="00054D75">
        <w:rPr>
          <w:bCs/>
          <w:i/>
          <w:color w:val="0000FF"/>
          <w:sz w:val="26"/>
          <w:szCs w:val="26"/>
        </w:rPr>
        <w:t>udge]</w:t>
      </w:r>
      <w:r w:rsidR="00DB6EC0" w:rsidRPr="005F35E1">
        <w:rPr>
          <w:bCs/>
          <w:sz w:val="26"/>
          <w:szCs w:val="26"/>
        </w:rPr>
        <w:t>,</w:t>
      </w:r>
      <w:r w:rsidR="00DB6EC0" w:rsidRPr="005F35E1">
        <w:rPr>
          <w:bCs/>
          <w:i/>
          <w:sz w:val="26"/>
          <w:szCs w:val="26"/>
        </w:rPr>
        <w:t xml:space="preserve"> </w:t>
      </w:r>
      <w:r w:rsidR="00DB6EC0">
        <w:rPr>
          <w:bCs/>
          <w:sz w:val="26"/>
          <w:szCs w:val="26"/>
        </w:rPr>
        <w:t>with</w:t>
      </w:r>
      <w:r w:rsidR="009F7876">
        <w:rPr>
          <w:bCs/>
          <w:sz w:val="26"/>
          <w:szCs w:val="26"/>
        </w:rPr>
        <w:t xml:space="preserve"> reporter</w:t>
      </w:r>
      <w:r w:rsidR="00DB6EC0">
        <w:rPr>
          <w:bCs/>
          <w:sz w:val="26"/>
          <w:szCs w:val="26"/>
        </w:rPr>
        <w:t xml:space="preserve"> </w:t>
      </w:r>
      <w:r w:rsidR="00DB6EC0" w:rsidRPr="00054D75">
        <w:rPr>
          <w:bCs/>
          <w:i/>
          <w:color w:val="0000FF"/>
          <w:sz w:val="26"/>
          <w:szCs w:val="26"/>
        </w:rPr>
        <w:t>[name of court reporter]</w:t>
      </w:r>
      <w:r w:rsidR="00DB6EC0" w:rsidRPr="005F35E1">
        <w:rPr>
          <w:bCs/>
          <w:sz w:val="26"/>
          <w:szCs w:val="26"/>
        </w:rPr>
        <w:t xml:space="preserve">. </w:t>
      </w:r>
      <w:r w:rsidR="00DB6EC0">
        <w:rPr>
          <w:bCs/>
          <w:sz w:val="26"/>
          <w:szCs w:val="26"/>
        </w:rPr>
        <w:t xml:space="preserve">(C.T. </w:t>
      </w:r>
      <w:r w:rsidR="00DB6EC0" w:rsidRPr="00054D75">
        <w:rPr>
          <w:bCs/>
          <w:i/>
          <w:color w:val="0000FF"/>
          <w:sz w:val="26"/>
          <w:szCs w:val="26"/>
        </w:rPr>
        <w:t>[cite to clerk’s transcript page that reflects this in</w:t>
      </w:r>
      <w:r w:rsidR="0013106E">
        <w:rPr>
          <w:bCs/>
          <w:i/>
          <w:color w:val="0000FF"/>
          <w:sz w:val="26"/>
          <w:szCs w:val="26"/>
        </w:rPr>
        <w:t>-</w:t>
      </w:r>
      <w:r w:rsidR="00DB6EC0" w:rsidRPr="00054D75">
        <w:rPr>
          <w:bCs/>
          <w:i/>
          <w:color w:val="0000FF"/>
          <w:sz w:val="26"/>
          <w:szCs w:val="26"/>
        </w:rPr>
        <w:t>camera proceeding]</w:t>
      </w:r>
      <w:r w:rsidR="00DB6EC0">
        <w:rPr>
          <w:bCs/>
          <w:sz w:val="26"/>
          <w:szCs w:val="26"/>
        </w:rPr>
        <w:t>.)</w:t>
      </w:r>
    </w:p>
    <w:p w14:paraId="08080172" w14:textId="77777777" w:rsidR="00DB6EC0" w:rsidRDefault="005D449B" w:rsidP="00DB6EC0">
      <w:pPr>
        <w:tabs>
          <w:tab w:val="left" w:pos="720"/>
        </w:tabs>
        <w:spacing w:line="48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DB6EC0">
        <w:rPr>
          <w:bCs/>
          <w:sz w:val="26"/>
          <w:szCs w:val="26"/>
        </w:rPr>
        <w:t xml:space="preserve">The </w:t>
      </w:r>
      <w:r w:rsidR="00BD3D8F">
        <w:rPr>
          <w:bCs/>
          <w:sz w:val="26"/>
          <w:szCs w:val="26"/>
        </w:rPr>
        <w:t xml:space="preserve">fact there was a </w:t>
      </w:r>
      <w:r w:rsidR="00DB6EC0">
        <w:rPr>
          <w:bCs/>
          <w:sz w:val="26"/>
          <w:szCs w:val="26"/>
        </w:rPr>
        <w:t xml:space="preserve">hearing on the </w:t>
      </w:r>
      <w:r w:rsidR="00DB6EC0">
        <w:rPr>
          <w:bCs/>
          <w:i/>
          <w:sz w:val="26"/>
          <w:szCs w:val="26"/>
        </w:rPr>
        <w:t>Pitchess</w:t>
      </w:r>
      <w:r w:rsidR="00DB6EC0">
        <w:rPr>
          <w:bCs/>
          <w:sz w:val="26"/>
          <w:szCs w:val="26"/>
        </w:rPr>
        <w:t xml:space="preserve"> motion is </w:t>
      </w:r>
      <w:r w:rsidR="00BD3D8F">
        <w:rPr>
          <w:bCs/>
          <w:sz w:val="26"/>
          <w:szCs w:val="26"/>
        </w:rPr>
        <w:t>not</w:t>
      </w:r>
      <w:r w:rsidR="00DB6EC0">
        <w:rPr>
          <w:bCs/>
          <w:sz w:val="26"/>
          <w:szCs w:val="26"/>
        </w:rPr>
        <w:t xml:space="preserve">ed in the reporter’s transcripts in </w:t>
      </w:r>
      <w:r w:rsidR="00DB6EC0" w:rsidRPr="00054D75">
        <w:rPr>
          <w:bCs/>
          <w:i/>
          <w:color w:val="0000FF"/>
          <w:sz w:val="26"/>
          <w:szCs w:val="26"/>
        </w:rPr>
        <w:t>[cite to the R.T. where the hearing appears]</w:t>
      </w:r>
      <w:r w:rsidR="00DB6EC0">
        <w:rPr>
          <w:bCs/>
          <w:sz w:val="26"/>
          <w:szCs w:val="26"/>
        </w:rPr>
        <w:t xml:space="preserve">.  </w:t>
      </w:r>
      <w:r w:rsidR="00406C93">
        <w:rPr>
          <w:bCs/>
          <w:sz w:val="26"/>
          <w:szCs w:val="26"/>
        </w:rPr>
        <w:t xml:space="preserve">The </w:t>
      </w:r>
      <w:r w:rsidR="00DB6EC0">
        <w:rPr>
          <w:bCs/>
          <w:sz w:val="26"/>
          <w:szCs w:val="26"/>
        </w:rPr>
        <w:t>in</w:t>
      </w:r>
      <w:r w:rsidR="0013106E">
        <w:rPr>
          <w:bCs/>
          <w:sz w:val="26"/>
          <w:szCs w:val="26"/>
        </w:rPr>
        <w:t>-</w:t>
      </w:r>
      <w:r w:rsidR="00DB6EC0">
        <w:rPr>
          <w:bCs/>
          <w:sz w:val="26"/>
          <w:szCs w:val="26"/>
        </w:rPr>
        <w:t>camera review, which was reported, is not included</w:t>
      </w:r>
      <w:r w:rsidR="00406C93">
        <w:rPr>
          <w:bCs/>
          <w:sz w:val="26"/>
          <w:szCs w:val="26"/>
        </w:rPr>
        <w:t xml:space="preserve"> in the transcript</w:t>
      </w:r>
      <w:r w:rsidR="00DB6EC0">
        <w:rPr>
          <w:bCs/>
          <w:sz w:val="26"/>
          <w:szCs w:val="26"/>
        </w:rPr>
        <w:t xml:space="preserve">. (R.T. </w:t>
      </w:r>
      <w:r w:rsidR="00DB6EC0" w:rsidRPr="00C148F0">
        <w:rPr>
          <w:bCs/>
          <w:i/>
          <w:color w:val="0000FF"/>
          <w:sz w:val="26"/>
          <w:szCs w:val="26"/>
        </w:rPr>
        <w:t>[cite to R.T. where court’s sealing order issued]</w:t>
      </w:r>
      <w:r w:rsidR="00DB6EC0">
        <w:rPr>
          <w:bCs/>
          <w:sz w:val="26"/>
          <w:szCs w:val="26"/>
        </w:rPr>
        <w:t>.)</w:t>
      </w:r>
    </w:p>
    <w:p w14:paraId="362C1AA7" w14:textId="77777777" w:rsidR="00C83B06" w:rsidRPr="00E34A6C" w:rsidRDefault="00C83B06" w:rsidP="00C83B06">
      <w:pPr>
        <w:keepNext/>
        <w:spacing w:line="48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62071B">
        <w:rPr>
          <w:sz w:val="26"/>
          <w:szCs w:val="26"/>
        </w:rPr>
        <w:t xml:space="preserve">These transcripts must be sealed and transmitted </w:t>
      </w:r>
      <w:r w:rsidR="00F40439">
        <w:rPr>
          <w:sz w:val="26"/>
          <w:szCs w:val="26"/>
        </w:rPr>
        <w:t>only to the Court of Appeal</w:t>
      </w:r>
      <w:r w:rsidR="0062071B">
        <w:rPr>
          <w:sz w:val="26"/>
          <w:szCs w:val="26"/>
        </w:rPr>
        <w:t>. (</w:t>
      </w:r>
      <w:r w:rsidR="0062071B">
        <w:rPr>
          <w:i/>
          <w:sz w:val="26"/>
          <w:szCs w:val="26"/>
        </w:rPr>
        <w:t>People v. Hughes, supra</w:t>
      </w:r>
      <w:r w:rsidR="0062071B">
        <w:rPr>
          <w:sz w:val="26"/>
          <w:szCs w:val="26"/>
        </w:rPr>
        <w:t>, 27 Cal.4</w:t>
      </w:r>
      <w:r w:rsidR="00D73E5B">
        <w:rPr>
          <w:sz w:val="26"/>
          <w:szCs w:val="26"/>
        </w:rPr>
        <w:t>th</w:t>
      </w:r>
      <w:r w:rsidR="0062071B">
        <w:rPr>
          <w:sz w:val="26"/>
          <w:szCs w:val="26"/>
        </w:rPr>
        <w:t xml:space="preserve"> at p. 330</w:t>
      </w:r>
      <w:r>
        <w:rPr>
          <w:sz w:val="26"/>
          <w:szCs w:val="26"/>
        </w:rPr>
        <w:t>; Cal. Rules of Court, rule 8.45(d)(2).)</w:t>
      </w:r>
    </w:p>
    <w:p w14:paraId="550740E6" w14:textId="77777777" w:rsidR="004A5E26" w:rsidRDefault="004A5E26" w:rsidP="004A5E26">
      <w:pPr>
        <w:ind w:left="7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[Enumerate proceedings for which a reporter’s transcript is requested, with citations to record and applicable rules as needed. Provide all known details – dates and times, judge’s name and department, reporter’s name and CSR number, etc., to help identify exact proceeding.]</w:t>
      </w:r>
    </w:p>
    <w:p w14:paraId="1251954B" w14:textId="77777777" w:rsidR="004A5E26" w:rsidRDefault="004A5E26" w:rsidP="004A5E26">
      <w:pPr>
        <w:rPr>
          <w:b/>
          <w:bCs/>
          <w:sz w:val="26"/>
          <w:szCs w:val="26"/>
        </w:rPr>
      </w:pPr>
    </w:p>
    <w:p w14:paraId="5ED91AA3" w14:textId="77777777" w:rsidR="004A5E26" w:rsidRDefault="004A5E26" w:rsidP="004A5E26">
      <w:pPr>
        <w:rPr>
          <w:b/>
          <w:bCs/>
          <w:sz w:val="26"/>
          <w:szCs w:val="26"/>
        </w:rPr>
      </w:pPr>
    </w:p>
    <w:p w14:paraId="49DFC87D" w14:textId="77777777" w:rsidR="003B0E75" w:rsidRDefault="003B0E75" w:rsidP="00AE522F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REQUEST FOR SETTLED STATEMENT ON APPEAL</w:t>
      </w:r>
      <w:r w:rsidR="00DB08C8">
        <w:rPr>
          <w:b/>
          <w:bCs/>
          <w:sz w:val="26"/>
          <w:szCs w:val="26"/>
          <w:u w:val="single"/>
        </w:rPr>
        <w:t xml:space="preserve"> IF REQUIRED</w:t>
      </w:r>
    </w:p>
    <w:p w14:paraId="24A3B791" w14:textId="77777777" w:rsidR="00AE522F" w:rsidRDefault="00AE522F" w:rsidP="00AE522F">
      <w:pPr>
        <w:jc w:val="center"/>
        <w:rPr>
          <w:b/>
          <w:bCs/>
          <w:sz w:val="26"/>
          <w:szCs w:val="26"/>
          <w:u w:val="single"/>
        </w:rPr>
      </w:pPr>
    </w:p>
    <w:p w14:paraId="291B451E" w14:textId="0F12C524" w:rsidR="00312144" w:rsidRDefault="003A44A2" w:rsidP="00312144">
      <w:pPr>
        <w:spacing w:line="480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If it turns out the superior court failed to retain copies of the records it reviewed during the </w:t>
      </w:r>
      <w:r>
        <w:rPr>
          <w:bCs/>
          <w:i/>
          <w:sz w:val="26"/>
          <w:szCs w:val="26"/>
        </w:rPr>
        <w:t>Pitchess</w:t>
      </w:r>
      <w:r>
        <w:rPr>
          <w:bCs/>
          <w:sz w:val="26"/>
          <w:szCs w:val="26"/>
        </w:rPr>
        <w:t xml:space="preserve"> hearing, appellant requests this court order </w:t>
      </w:r>
      <w:r w:rsidR="00454062">
        <w:rPr>
          <w:bCs/>
          <w:sz w:val="26"/>
          <w:szCs w:val="26"/>
        </w:rPr>
        <w:t xml:space="preserve">Judge </w:t>
      </w:r>
      <w:r w:rsidR="00501A59" w:rsidRPr="00C148F0">
        <w:rPr>
          <w:bCs/>
          <w:i/>
          <w:color w:val="0000FF"/>
          <w:sz w:val="26"/>
          <w:szCs w:val="26"/>
        </w:rPr>
        <w:t>[name</w:t>
      </w:r>
      <w:r w:rsidR="00454062">
        <w:rPr>
          <w:bCs/>
          <w:i/>
          <w:color w:val="0000FF"/>
          <w:sz w:val="26"/>
          <w:szCs w:val="26"/>
        </w:rPr>
        <w:t xml:space="preserve"> of judge</w:t>
      </w:r>
      <w:r w:rsidR="00501A59" w:rsidRPr="00C148F0">
        <w:rPr>
          <w:bCs/>
          <w:i/>
          <w:color w:val="0000FF"/>
          <w:sz w:val="26"/>
          <w:szCs w:val="26"/>
        </w:rPr>
        <w:t>]</w:t>
      </w:r>
      <w:r w:rsidR="00501A59" w:rsidRPr="00C148F0">
        <w:rPr>
          <w:bCs/>
          <w:color w:val="0000FF"/>
          <w:sz w:val="26"/>
          <w:szCs w:val="26"/>
        </w:rPr>
        <w:t xml:space="preserve"> </w:t>
      </w:r>
      <w:r w:rsidR="00BE4A47">
        <w:rPr>
          <w:bCs/>
          <w:sz w:val="26"/>
          <w:szCs w:val="26"/>
        </w:rPr>
        <w:t>prepare</w:t>
      </w:r>
      <w:r w:rsidR="00501A59">
        <w:rPr>
          <w:bCs/>
          <w:sz w:val="26"/>
          <w:szCs w:val="26"/>
        </w:rPr>
        <w:t xml:space="preserve"> a settled record of the documents the court reviewed.  (</w:t>
      </w:r>
      <w:r w:rsidR="00E77921">
        <w:rPr>
          <w:bCs/>
          <w:sz w:val="26"/>
          <w:szCs w:val="26"/>
        </w:rPr>
        <w:t>R</w:t>
      </w:r>
      <w:r w:rsidR="00501A59">
        <w:rPr>
          <w:bCs/>
          <w:sz w:val="26"/>
          <w:szCs w:val="26"/>
        </w:rPr>
        <w:t xml:space="preserve">ule 8.346; </w:t>
      </w:r>
      <w:r w:rsidR="00501A59">
        <w:rPr>
          <w:bCs/>
          <w:i/>
          <w:sz w:val="26"/>
          <w:szCs w:val="26"/>
        </w:rPr>
        <w:t>People v. Mooc, supra</w:t>
      </w:r>
      <w:r w:rsidR="00501A59">
        <w:rPr>
          <w:bCs/>
          <w:sz w:val="26"/>
          <w:szCs w:val="26"/>
        </w:rPr>
        <w:t>, 26 Cal.4</w:t>
      </w:r>
      <w:r w:rsidR="00BE4A47">
        <w:rPr>
          <w:bCs/>
          <w:sz w:val="26"/>
          <w:szCs w:val="26"/>
        </w:rPr>
        <w:t>th</w:t>
      </w:r>
      <w:r w:rsidR="00501A59">
        <w:rPr>
          <w:bCs/>
          <w:sz w:val="26"/>
          <w:szCs w:val="26"/>
        </w:rPr>
        <w:t xml:space="preserve"> at p.</w:t>
      </w:r>
      <w:r w:rsidR="00F26047">
        <w:rPr>
          <w:bCs/>
          <w:sz w:val="26"/>
          <w:szCs w:val="26"/>
        </w:rPr>
        <w:t xml:space="preserve"> 1231</w:t>
      </w:r>
      <w:r w:rsidR="00E901A3">
        <w:rPr>
          <w:bCs/>
          <w:sz w:val="26"/>
          <w:szCs w:val="26"/>
        </w:rPr>
        <w:t xml:space="preserve"> [“we are confident an augmentation of the appellate record prepared by the trial court itself would result in an accurate record on appeal</w:t>
      </w:r>
      <w:r w:rsidR="0093651E">
        <w:rPr>
          <w:bCs/>
          <w:sz w:val="26"/>
          <w:szCs w:val="26"/>
        </w:rPr>
        <w:t>”</w:t>
      </w:r>
      <w:r w:rsidR="00E901A3">
        <w:rPr>
          <w:bCs/>
          <w:sz w:val="26"/>
          <w:szCs w:val="26"/>
        </w:rPr>
        <w:t>]</w:t>
      </w:r>
      <w:r w:rsidR="00AB3EF9">
        <w:rPr>
          <w:bCs/>
          <w:sz w:val="26"/>
          <w:szCs w:val="26"/>
        </w:rPr>
        <w:t>;</w:t>
      </w:r>
      <w:r w:rsidR="009A5AF3">
        <w:rPr>
          <w:bCs/>
          <w:sz w:val="26"/>
          <w:szCs w:val="26"/>
        </w:rPr>
        <w:t xml:space="preserve"> </w:t>
      </w:r>
      <w:r w:rsidR="009A5AF3">
        <w:rPr>
          <w:bCs/>
          <w:i/>
          <w:sz w:val="26"/>
          <w:szCs w:val="26"/>
        </w:rPr>
        <w:t xml:space="preserve">People v. Gaines </w:t>
      </w:r>
      <w:r w:rsidR="009A5AF3">
        <w:rPr>
          <w:bCs/>
          <w:sz w:val="26"/>
          <w:szCs w:val="26"/>
        </w:rPr>
        <w:t>(2009</w:t>
      </w:r>
      <w:r w:rsidR="008D5ED9">
        <w:rPr>
          <w:bCs/>
          <w:sz w:val="26"/>
          <w:szCs w:val="26"/>
        </w:rPr>
        <w:t>)</w:t>
      </w:r>
      <w:r w:rsidR="009A5AF3">
        <w:rPr>
          <w:bCs/>
          <w:sz w:val="26"/>
          <w:szCs w:val="26"/>
        </w:rPr>
        <w:t xml:space="preserve"> 46 Cal.4</w:t>
      </w:r>
      <w:r w:rsidR="00BE4A47">
        <w:rPr>
          <w:bCs/>
          <w:sz w:val="26"/>
          <w:szCs w:val="26"/>
        </w:rPr>
        <w:t>th</w:t>
      </w:r>
      <w:r w:rsidR="009A5AF3">
        <w:rPr>
          <w:bCs/>
          <w:sz w:val="26"/>
          <w:szCs w:val="26"/>
        </w:rPr>
        <w:t xml:space="preserve"> 172, 180.)</w:t>
      </w:r>
      <w:r w:rsidR="007479EA">
        <w:rPr>
          <w:bCs/>
          <w:sz w:val="26"/>
          <w:szCs w:val="26"/>
        </w:rPr>
        <w:t xml:space="preserve">  This settled record must contain copies of the documents the court reviewed at the </w:t>
      </w:r>
      <w:r w:rsidR="007479EA">
        <w:rPr>
          <w:bCs/>
          <w:i/>
          <w:sz w:val="26"/>
          <w:szCs w:val="26"/>
        </w:rPr>
        <w:t>Pitchess</w:t>
      </w:r>
      <w:r w:rsidR="007479EA">
        <w:rPr>
          <w:bCs/>
          <w:sz w:val="26"/>
          <w:szCs w:val="26"/>
        </w:rPr>
        <w:t xml:space="preserve"> hearing. </w:t>
      </w:r>
      <w:r w:rsidR="00312144">
        <w:rPr>
          <w:bCs/>
          <w:sz w:val="26"/>
          <w:szCs w:val="26"/>
        </w:rPr>
        <w:t xml:space="preserve">As the Supreme Court stated in </w:t>
      </w:r>
      <w:r w:rsidR="00312144">
        <w:rPr>
          <w:bCs/>
          <w:i/>
          <w:sz w:val="26"/>
          <w:szCs w:val="26"/>
        </w:rPr>
        <w:t>Mooc</w:t>
      </w:r>
      <w:r w:rsidR="00312144">
        <w:rPr>
          <w:bCs/>
          <w:sz w:val="26"/>
          <w:szCs w:val="26"/>
        </w:rPr>
        <w:t>, “[w]ithout some record of the documents examined by the trial court, a party’s ability to obtain appellate review of the trial court’s decision, whether to disclose or not to disclose, would be nonexistent.” (</w:t>
      </w:r>
      <w:r w:rsidR="00454062">
        <w:rPr>
          <w:bCs/>
          <w:i/>
          <w:sz w:val="26"/>
          <w:szCs w:val="26"/>
        </w:rPr>
        <w:t>People v. M</w:t>
      </w:r>
      <w:r w:rsidR="00312144">
        <w:rPr>
          <w:bCs/>
          <w:i/>
          <w:sz w:val="26"/>
          <w:szCs w:val="26"/>
        </w:rPr>
        <w:t>ooc</w:t>
      </w:r>
      <w:r w:rsidR="00312144">
        <w:rPr>
          <w:bCs/>
          <w:sz w:val="26"/>
          <w:szCs w:val="26"/>
        </w:rPr>
        <w:t xml:space="preserve">, </w:t>
      </w:r>
      <w:r w:rsidR="00312144">
        <w:rPr>
          <w:bCs/>
          <w:i/>
          <w:sz w:val="26"/>
          <w:szCs w:val="26"/>
        </w:rPr>
        <w:t>supra</w:t>
      </w:r>
      <w:r w:rsidR="00312144">
        <w:rPr>
          <w:bCs/>
          <w:sz w:val="26"/>
          <w:szCs w:val="26"/>
        </w:rPr>
        <w:t>, 26 Cal.4</w:t>
      </w:r>
      <w:r w:rsidR="007062D9">
        <w:rPr>
          <w:bCs/>
          <w:sz w:val="26"/>
          <w:szCs w:val="26"/>
        </w:rPr>
        <w:t>th</w:t>
      </w:r>
      <w:r w:rsidR="00312144">
        <w:rPr>
          <w:bCs/>
          <w:sz w:val="26"/>
          <w:szCs w:val="26"/>
        </w:rPr>
        <w:t xml:space="preserve"> at p. 1229.)</w:t>
      </w:r>
    </w:p>
    <w:p w14:paraId="246BA2C0" w14:textId="77777777" w:rsidR="003B5AAA" w:rsidRDefault="00331D48" w:rsidP="00312144">
      <w:pPr>
        <w:spacing w:line="480" w:lineRule="auto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To assist with the</w:t>
      </w:r>
      <w:r w:rsidR="008D5ED9">
        <w:rPr>
          <w:bCs/>
          <w:sz w:val="26"/>
          <w:szCs w:val="26"/>
        </w:rPr>
        <w:t xml:space="preserve"> settled record </w:t>
      </w:r>
      <w:r>
        <w:rPr>
          <w:bCs/>
          <w:sz w:val="26"/>
          <w:szCs w:val="26"/>
        </w:rPr>
        <w:t>preparation</w:t>
      </w:r>
      <w:r w:rsidR="008D5ED9">
        <w:rPr>
          <w:bCs/>
          <w:sz w:val="26"/>
          <w:szCs w:val="26"/>
        </w:rPr>
        <w:t>, appell</w:t>
      </w:r>
      <w:r w:rsidR="00A841CA">
        <w:rPr>
          <w:bCs/>
          <w:sz w:val="26"/>
          <w:szCs w:val="26"/>
        </w:rPr>
        <w:t>ant requests this court</w:t>
      </w:r>
      <w:r w:rsidR="003B5AAA">
        <w:rPr>
          <w:bCs/>
          <w:sz w:val="26"/>
          <w:szCs w:val="26"/>
        </w:rPr>
        <w:t>:</w:t>
      </w:r>
    </w:p>
    <w:p w14:paraId="35814E17" w14:textId="0AB80313" w:rsidR="00171FA2" w:rsidRPr="006A60B2" w:rsidRDefault="00E33808" w:rsidP="00E33808">
      <w:pPr>
        <w:spacing w:line="480" w:lineRule="auto"/>
        <w:ind w:left="720"/>
        <w:rPr>
          <w:bCs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26"/>
          <w:szCs w:val="26"/>
        </w:rPr>
        <w:t>•</w:t>
      </w:r>
      <w:r w:rsidR="00A841CA">
        <w:rPr>
          <w:bCs/>
          <w:sz w:val="26"/>
          <w:szCs w:val="26"/>
        </w:rPr>
        <w:t xml:space="preserve"> direct</w:t>
      </w:r>
      <w:r w:rsidR="008D5ED9">
        <w:rPr>
          <w:bCs/>
          <w:sz w:val="26"/>
          <w:szCs w:val="26"/>
        </w:rPr>
        <w:t xml:space="preserve"> the </w:t>
      </w:r>
      <w:r w:rsidR="00454062">
        <w:rPr>
          <w:bCs/>
          <w:sz w:val="26"/>
          <w:szCs w:val="26"/>
        </w:rPr>
        <w:t>c</w:t>
      </w:r>
      <w:r w:rsidR="008D5ED9">
        <w:rPr>
          <w:bCs/>
          <w:sz w:val="26"/>
          <w:szCs w:val="26"/>
        </w:rPr>
        <w:t xml:space="preserve">ustodians of </w:t>
      </w:r>
      <w:r w:rsidR="00454062">
        <w:rPr>
          <w:bCs/>
          <w:sz w:val="26"/>
          <w:szCs w:val="26"/>
        </w:rPr>
        <w:t>r</w:t>
      </w:r>
      <w:r w:rsidR="008D5ED9">
        <w:rPr>
          <w:bCs/>
          <w:sz w:val="26"/>
          <w:szCs w:val="26"/>
        </w:rPr>
        <w:t xml:space="preserve">ecords </w:t>
      </w:r>
      <w:r w:rsidR="008D5ED9" w:rsidRPr="00C148F0">
        <w:rPr>
          <w:bCs/>
          <w:i/>
          <w:color w:val="0000FF"/>
          <w:sz w:val="26"/>
          <w:szCs w:val="26"/>
        </w:rPr>
        <w:t xml:space="preserve">[name </w:t>
      </w:r>
      <w:r w:rsidR="00454062">
        <w:rPr>
          <w:bCs/>
          <w:i/>
          <w:color w:val="0000FF"/>
          <w:sz w:val="26"/>
          <w:szCs w:val="26"/>
        </w:rPr>
        <w:t xml:space="preserve">of </w:t>
      </w:r>
      <w:r w:rsidR="008D5ED9" w:rsidRPr="00C148F0">
        <w:rPr>
          <w:bCs/>
          <w:i/>
          <w:color w:val="0000FF"/>
          <w:sz w:val="26"/>
          <w:szCs w:val="26"/>
        </w:rPr>
        <w:t>custodians]</w:t>
      </w:r>
      <w:r w:rsidR="008D5ED9" w:rsidRPr="00C148F0">
        <w:rPr>
          <w:bCs/>
          <w:color w:val="0000FF"/>
          <w:sz w:val="26"/>
          <w:szCs w:val="26"/>
        </w:rPr>
        <w:t xml:space="preserve"> </w:t>
      </w:r>
      <w:r w:rsidR="008D5ED9">
        <w:rPr>
          <w:bCs/>
          <w:sz w:val="26"/>
          <w:szCs w:val="26"/>
        </w:rPr>
        <w:t xml:space="preserve">to provide Judge </w:t>
      </w:r>
      <w:r w:rsidR="008D5ED9" w:rsidRPr="00C148F0">
        <w:rPr>
          <w:bCs/>
          <w:i/>
          <w:color w:val="0000FF"/>
          <w:sz w:val="26"/>
          <w:szCs w:val="26"/>
        </w:rPr>
        <w:t>[name</w:t>
      </w:r>
      <w:r w:rsidR="00454062">
        <w:rPr>
          <w:bCs/>
          <w:i/>
          <w:color w:val="0000FF"/>
          <w:sz w:val="26"/>
          <w:szCs w:val="26"/>
        </w:rPr>
        <w:t xml:space="preserve"> of judge</w:t>
      </w:r>
      <w:r w:rsidR="008D5ED9" w:rsidRPr="00C148F0">
        <w:rPr>
          <w:bCs/>
          <w:i/>
          <w:color w:val="0000FF"/>
          <w:sz w:val="26"/>
          <w:szCs w:val="26"/>
        </w:rPr>
        <w:t>]</w:t>
      </w:r>
      <w:r w:rsidR="00BD4455" w:rsidRPr="00C148F0">
        <w:rPr>
          <w:bCs/>
          <w:color w:val="0000FF"/>
          <w:sz w:val="26"/>
          <w:szCs w:val="26"/>
        </w:rPr>
        <w:t xml:space="preserve"> </w:t>
      </w:r>
      <w:r w:rsidR="00BD4455">
        <w:rPr>
          <w:bCs/>
          <w:sz w:val="26"/>
          <w:szCs w:val="26"/>
        </w:rPr>
        <w:t>copies</w:t>
      </w:r>
      <w:r w:rsidR="005019F8">
        <w:rPr>
          <w:bCs/>
          <w:sz w:val="26"/>
          <w:szCs w:val="26"/>
        </w:rPr>
        <w:t xml:space="preserve"> of </w:t>
      </w:r>
      <w:r w:rsidR="00E7025C">
        <w:rPr>
          <w:bCs/>
          <w:sz w:val="26"/>
          <w:szCs w:val="26"/>
        </w:rPr>
        <w:t xml:space="preserve">all the </w:t>
      </w:r>
      <w:r w:rsidR="005019F8">
        <w:rPr>
          <w:bCs/>
          <w:sz w:val="26"/>
          <w:szCs w:val="26"/>
        </w:rPr>
        <w:t xml:space="preserve">documents </w:t>
      </w:r>
      <w:r w:rsidR="00E7025C">
        <w:rPr>
          <w:bCs/>
          <w:sz w:val="26"/>
          <w:szCs w:val="26"/>
        </w:rPr>
        <w:t xml:space="preserve">the court </w:t>
      </w:r>
      <w:r w:rsidR="005019F8">
        <w:rPr>
          <w:bCs/>
          <w:sz w:val="26"/>
          <w:szCs w:val="26"/>
        </w:rPr>
        <w:t>reviewed</w:t>
      </w:r>
      <w:r w:rsidR="004250AC">
        <w:rPr>
          <w:bCs/>
          <w:sz w:val="26"/>
          <w:szCs w:val="26"/>
        </w:rPr>
        <w:t xml:space="preserve"> at the hearing held </w:t>
      </w:r>
      <w:r w:rsidR="004250AC" w:rsidRPr="00C148F0">
        <w:rPr>
          <w:bCs/>
          <w:i/>
          <w:color w:val="0000FF"/>
          <w:sz w:val="26"/>
          <w:szCs w:val="26"/>
        </w:rPr>
        <w:t xml:space="preserve">[date of </w:t>
      </w:r>
      <w:r w:rsidR="00826CDD" w:rsidRPr="00C148F0">
        <w:rPr>
          <w:bCs/>
          <w:i/>
          <w:color w:val="0000FF"/>
          <w:sz w:val="26"/>
          <w:szCs w:val="26"/>
        </w:rPr>
        <w:t xml:space="preserve">Pitchess </w:t>
      </w:r>
      <w:r w:rsidR="007062D9">
        <w:rPr>
          <w:bCs/>
          <w:i/>
          <w:color w:val="0000FF"/>
          <w:sz w:val="26"/>
          <w:szCs w:val="26"/>
        </w:rPr>
        <w:t>hearing</w:t>
      </w:r>
      <w:proofErr w:type="gramStart"/>
      <w:r w:rsidR="007062D9">
        <w:rPr>
          <w:bCs/>
          <w:i/>
          <w:color w:val="0000FF"/>
          <w:sz w:val="26"/>
          <w:szCs w:val="26"/>
        </w:rPr>
        <w:t>]</w:t>
      </w:r>
      <w:r w:rsidR="006A60B2">
        <w:rPr>
          <w:bCs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proofErr w:type="gramEnd"/>
    </w:p>
    <w:p w14:paraId="1BACAF53" w14:textId="65A15CB3" w:rsidR="00171FA2" w:rsidRDefault="00E33808" w:rsidP="00E33808">
      <w:pPr>
        <w:spacing w:line="48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• </w:t>
      </w:r>
      <w:r w:rsidR="004250AC">
        <w:rPr>
          <w:bCs/>
          <w:sz w:val="26"/>
          <w:szCs w:val="26"/>
        </w:rPr>
        <w:t xml:space="preserve">direct Judge </w:t>
      </w:r>
      <w:r w:rsidR="004250AC" w:rsidRPr="00C148F0">
        <w:rPr>
          <w:bCs/>
          <w:i/>
          <w:color w:val="0000FF"/>
          <w:sz w:val="26"/>
          <w:szCs w:val="26"/>
        </w:rPr>
        <w:t>[name</w:t>
      </w:r>
      <w:r w:rsidR="006033FE">
        <w:rPr>
          <w:bCs/>
          <w:i/>
          <w:color w:val="0000FF"/>
          <w:sz w:val="26"/>
          <w:szCs w:val="26"/>
        </w:rPr>
        <w:t xml:space="preserve"> of judge</w:t>
      </w:r>
      <w:r w:rsidR="00862CE2" w:rsidRPr="00C148F0">
        <w:rPr>
          <w:bCs/>
          <w:i/>
          <w:color w:val="0000FF"/>
          <w:sz w:val="26"/>
          <w:szCs w:val="26"/>
        </w:rPr>
        <w:t>]</w:t>
      </w:r>
      <w:r w:rsidR="00862CE2" w:rsidRPr="00C148F0">
        <w:rPr>
          <w:bCs/>
          <w:color w:val="0000FF"/>
          <w:sz w:val="26"/>
          <w:szCs w:val="26"/>
        </w:rPr>
        <w:t xml:space="preserve"> </w:t>
      </w:r>
      <w:r w:rsidR="00862CE2">
        <w:rPr>
          <w:bCs/>
          <w:sz w:val="26"/>
          <w:szCs w:val="26"/>
        </w:rPr>
        <w:t>to certify which</w:t>
      </w:r>
      <w:r w:rsidR="004250AC">
        <w:rPr>
          <w:bCs/>
          <w:sz w:val="26"/>
          <w:szCs w:val="26"/>
        </w:rPr>
        <w:t xml:space="preserve"> items produced by the </w:t>
      </w:r>
      <w:r w:rsidR="006033FE">
        <w:rPr>
          <w:bCs/>
          <w:sz w:val="26"/>
          <w:szCs w:val="26"/>
        </w:rPr>
        <w:t>c</w:t>
      </w:r>
      <w:r w:rsidR="004250AC">
        <w:rPr>
          <w:bCs/>
          <w:sz w:val="26"/>
          <w:szCs w:val="26"/>
        </w:rPr>
        <w:t xml:space="preserve">ustodian of </w:t>
      </w:r>
      <w:r w:rsidR="006033FE">
        <w:rPr>
          <w:bCs/>
          <w:sz w:val="26"/>
          <w:szCs w:val="26"/>
        </w:rPr>
        <w:t>r</w:t>
      </w:r>
      <w:r w:rsidR="004250AC">
        <w:rPr>
          <w:bCs/>
          <w:sz w:val="26"/>
          <w:szCs w:val="26"/>
        </w:rPr>
        <w:t xml:space="preserve">ecords are the same documents reviewed by Judge </w:t>
      </w:r>
      <w:r w:rsidR="004250AC" w:rsidRPr="00C148F0">
        <w:rPr>
          <w:bCs/>
          <w:i/>
          <w:color w:val="0000FF"/>
          <w:sz w:val="26"/>
          <w:szCs w:val="26"/>
        </w:rPr>
        <w:t>[name</w:t>
      </w:r>
      <w:r w:rsidR="006033FE">
        <w:rPr>
          <w:bCs/>
          <w:i/>
          <w:color w:val="0000FF"/>
          <w:sz w:val="26"/>
          <w:szCs w:val="26"/>
        </w:rPr>
        <w:t xml:space="preserve"> of judge</w:t>
      </w:r>
      <w:r w:rsidR="004250AC" w:rsidRPr="00C148F0">
        <w:rPr>
          <w:bCs/>
          <w:i/>
          <w:color w:val="0000FF"/>
          <w:sz w:val="26"/>
          <w:szCs w:val="26"/>
        </w:rPr>
        <w:t>]</w:t>
      </w:r>
      <w:r w:rsidR="004250AC" w:rsidRPr="00C148F0">
        <w:rPr>
          <w:bCs/>
          <w:color w:val="0000FF"/>
          <w:sz w:val="26"/>
          <w:szCs w:val="26"/>
        </w:rPr>
        <w:t xml:space="preserve"> </w:t>
      </w:r>
      <w:r w:rsidR="004250AC">
        <w:rPr>
          <w:bCs/>
          <w:sz w:val="26"/>
          <w:szCs w:val="26"/>
        </w:rPr>
        <w:t xml:space="preserve">on </w:t>
      </w:r>
      <w:r w:rsidR="004250AC" w:rsidRPr="00C148F0">
        <w:rPr>
          <w:bCs/>
          <w:i/>
          <w:color w:val="0000FF"/>
          <w:sz w:val="26"/>
          <w:szCs w:val="26"/>
        </w:rPr>
        <w:t>[date of Pitchess</w:t>
      </w:r>
      <w:r w:rsidR="00865774" w:rsidRPr="00C148F0">
        <w:rPr>
          <w:bCs/>
          <w:i/>
          <w:color w:val="0000FF"/>
          <w:sz w:val="26"/>
          <w:szCs w:val="26"/>
        </w:rPr>
        <w:t xml:space="preserve"> hearing</w:t>
      </w:r>
      <w:r w:rsidR="004250AC" w:rsidRPr="00C148F0">
        <w:rPr>
          <w:bCs/>
          <w:i/>
          <w:color w:val="0000FF"/>
          <w:sz w:val="26"/>
          <w:szCs w:val="26"/>
        </w:rPr>
        <w:t>]</w:t>
      </w:r>
      <w:r w:rsidR="006A60B2">
        <w:rPr>
          <w:bCs/>
          <w:sz w:val="26"/>
          <w:szCs w:val="26"/>
        </w:rPr>
        <w:t>; and</w:t>
      </w:r>
      <w:r w:rsidR="00865774">
        <w:rPr>
          <w:bCs/>
          <w:sz w:val="26"/>
          <w:szCs w:val="26"/>
        </w:rPr>
        <w:t xml:space="preserve"> </w:t>
      </w:r>
    </w:p>
    <w:p w14:paraId="16376458" w14:textId="5B88E8D5" w:rsidR="003A44A2" w:rsidRDefault="00E33808" w:rsidP="00E33808">
      <w:pPr>
        <w:spacing w:line="480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• </w:t>
      </w:r>
      <w:r w:rsidR="003A4F19">
        <w:rPr>
          <w:bCs/>
          <w:sz w:val="26"/>
          <w:szCs w:val="26"/>
        </w:rPr>
        <w:t xml:space="preserve">order </w:t>
      </w:r>
      <w:r w:rsidR="00865774">
        <w:rPr>
          <w:bCs/>
          <w:sz w:val="26"/>
          <w:szCs w:val="26"/>
        </w:rPr>
        <w:t xml:space="preserve">the superior court clerk to transmit a copy of the settled record of the items reviewed by </w:t>
      </w:r>
      <w:r w:rsidR="006033FE">
        <w:rPr>
          <w:bCs/>
          <w:sz w:val="26"/>
          <w:szCs w:val="26"/>
        </w:rPr>
        <w:t xml:space="preserve">Judge </w:t>
      </w:r>
      <w:r w:rsidR="00865774" w:rsidRPr="00C148F0">
        <w:rPr>
          <w:bCs/>
          <w:i/>
          <w:color w:val="0000FF"/>
          <w:sz w:val="26"/>
          <w:szCs w:val="26"/>
        </w:rPr>
        <w:t>[name</w:t>
      </w:r>
      <w:r w:rsidR="006033FE">
        <w:rPr>
          <w:bCs/>
          <w:i/>
          <w:color w:val="0000FF"/>
          <w:sz w:val="26"/>
          <w:szCs w:val="26"/>
        </w:rPr>
        <w:t xml:space="preserve"> of judge</w:t>
      </w:r>
      <w:r w:rsidR="00865774" w:rsidRPr="00C148F0">
        <w:rPr>
          <w:bCs/>
          <w:i/>
          <w:color w:val="0000FF"/>
          <w:sz w:val="26"/>
          <w:szCs w:val="26"/>
        </w:rPr>
        <w:t xml:space="preserve">] </w:t>
      </w:r>
      <w:r w:rsidR="00865774">
        <w:rPr>
          <w:bCs/>
          <w:sz w:val="26"/>
          <w:szCs w:val="26"/>
        </w:rPr>
        <w:t>at the in</w:t>
      </w:r>
      <w:r w:rsidR="0013106E">
        <w:rPr>
          <w:bCs/>
          <w:sz w:val="26"/>
          <w:szCs w:val="26"/>
        </w:rPr>
        <w:t>-</w:t>
      </w:r>
      <w:r w:rsidR="00865774">
        <w:rPr>
          <w:bCs/>
          <w:sz w:val="26"/>
          <w:szCs w:val="26"/>
        </w:rPr>
        <w:t xml:space="preserve">camera hearing held </w:t>
      </w:r>
      <w:r w:rsidR="00865774" w:rsidRPr="00C148F0">
        <w:rPr>
          <w:bCs/>
          <w:i/>
          <w:color w:val="0000FF"/>
          <w:sz w:val="26"/>
          <w:szCs w:val="26"/>
        </w:rPr>
        <w:t>[date of Pitchess hearing</w:t>
      </w:r>
      <w:r w:rsidR="00ED0F39" w:rsidRPr="00C148F0">
        <w:rPr>
          <w:bCs/>
          <w:i/>
          <w:color w:val="0000FF"/>
          <w:sz w:val="26"/>
          <w:szCs w:val="26"/>
        </w:rPr>
        <w:t>]</w:t>
      </w:r>
      <w:r w:rsidR="00ED0F39">
        <w:rPr>
          <w:bCs/>
          <w:sz w:val="26"/>
          <w:szCs w:val="26"/>
        </w:rPr>
        <w:t>, to the Court of Appeal</w:t>
      </w:r>
      <w:r w:rsidR="00567208">
        <w:rPr>
          <w:bCs/>
          <w:sz w:val="26"/>
          <w:szCs w:val="26"/>
        </w:rPr>
        <w:t xml:space="preserve"> in a confidential envelope</w:t>
      </w:r>
      <w:r w:rsidR="00C75DE1">
        <w:rPr>
          <w:bCs/>
          <w:sz w:val="26"/>
          <w:szCs w:val="26"/>
        </w:rPr>
        <w:t>.</w:t>
      </w:r>
      <w:r w:rsidR="00145517">
        <w:rPr>
          <w:bCs/>
          <w:sz w:val="26"/>
          <w:szCs w:val="26"/>
        </w:rPr>
        <w:t xml:space="preserve"> (</w:t>
      </w:r>
      <w:r w:rsidR="00B902F5">
        <w:rPr>
          <w:bCs/>
          <w:sz w:val="26"/>
          <w:szCs w:val="26"/>
        </w:rPr>
        <w:t>R</w:t>
      </w:r>
      <w:r w:rsidR="00145517">
        <w:rPr>
          <w:bCs/>
          <w:sz w:val="26"/>
          <w:szCs w:val="26"/>
        </w:rPr>
        <w:t>ule 8.45(c)</w:t>
      </w:r>
      <w:r w:rsidR="001C39F4">
        <w:rPr>
          <w:bCs/>
          <w:sz w:val="26"/>
          <w:szCs w:val="26"/>
        </w:rPr>
        <w:t xml:space="preserve"> </w:t>
      </w:r>
      <w:r w:rsidR="00BC1F66">
        <w:rPr>
          <w:bCs/>
          <w:sz w:val="26"/>
          <w:szCs w:val="26"/>
        </w:rPr>
        <w:t>&amp;</w:t>
      </w:r>
      <w:r w:rsidR="001C39F4">
        <w:rPr>
          <w:bCs/>
          <w:sz w:val="26"/>
          <w:szCs w:val="26"/>
        </w:rPr>
        <w:t xml:space="preserve"> </w:t>
      </w:r>
      <w:r w:rsidR="00145517">
        <w:rPr>
          <w:bCs/>
          <w:sz w:val="26"/>
          <w:szCs w:val="26"/>
        </w:rPr>
        <w:t>(d)</w:t>
      </w:r>
      <w:r w:rsidR="00C75DE1">
        <w:rPr>
          <w:bCs/>
          <w:sz w:val="26"/>
          <w:szCs w:val="26"/>
        </w:rPr>
        <w:t>.</w:t>
      </w:r>
      <w:r w:rsidR="00145517">
        <w:rPr>
          <w:bCs/>
          <w:sz w:val="26"/>
          <w:szCs w:val="26"/>
        </w:rPr>
        <w:t>)</w:t>
      </w:r>
    </w:p>
    <w:p w14:paraId="661152A4" w14:textId="77777777" w:rsidR="003B0E75" w:rsidRPr="0098230E" w:rsidRDefault="0098230E" w:rsidP="0098230E">
      <w:pPr>
        <w:jc w:val="center"/>
        <w:rPr>
          <w:b/>
          <w:sz w:val="26"/>
          <w:szCs w:val="26"/>
        </w:rPr>
      </w:pPr>
      <w:r w:rsidRPr="0098230E">
        <w:rPr>
          <w:b/>
          <w:sz w:val="26"/>
          <w:szCs w:val="26"/>
        </w:rPr>
        <w:t>CONCLUSION</w:t>
      </w:r>
    </w:p>
    <w:p w14:paraId="419C5324" w14:textId="77777777" w:rsidR="003B0E75" w:rsidRPr="00427389" w:rsidRDefault="003B0E75" w:rsidP="004A5E26">
      <w:pPr>
        <w:rPr>
          <w:color w:val="FF0000"/>
          <w:sz w:val="26"/>
          <w:szCs w:val="26"/>
        </w:rPr>
      </w:pPr>
    </w:p>
    <w:p w14:paraId="252E65B2" w14:textId="77777777" w:rsidR="004A5E26" w:rsidRDefault="00E85BC9" w:rsidP="00E85BC9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  <w:t>For these reasons detailed in this motion, appellant respectfully requests augmentation of the appellate record.</w:t>
      </w:r>
    </w:p>
    <w:p w14:paraId="00001A6F" w14:textId="77777777" w:rsidR="004A5E26" w:rsidRDefault="004A5E26" w:rsidP="004A5E26">
      <w:pPr>
        <w:rPr>
          <w:sz w:val="26"/>
          <w:szCs w:val="26"/>
        </w:rPr>
      </w:pPr>
    </w:p>
    <w:p w14:paraId="1F02D3B7" w14:textId="173B83CE" w:rsidR="004A5E26" w:rsidRDefault="004A5E26" w:rsidP="004A5E26">
      <w:pPr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ab/>
      </w:r>
      <w:r w:rsidR="00B902F5">
        <w:rPr>
          <w:i/>
          <w:iCs/>
          <w:color w:val="0000FF"/>
          <w:sz w:val="26"/>
          <w:szCs w:val="26"/>
        </w:rPr>
        <w:tab/>
      </w:r>
      <w:r>
        <w:rPr>
          <w:sz w:val="26"/>
          <w:szCs w:val="26"/>
        </w:rPr>
        <w:t>Respectfully submitted,</w:t>
      </w:r>
    </w:p>
    <w:p w14:paraId="4A80E095" w14:textId="77777777" w:rsidR="004A5E26" w:rsidRDefault="004A5E26" w:rsidP="004A5E26">
      <w:pPr>
        <w:rPr>
          <w:i/>
          <w:iCs/>
          <w:sz w:val="26"/>
          <w:szCs w:val="26"/>
        </w:rPr>
      </w:pPr>
    </w:p>
    <w:p w14:paraId="75C1030C" w14:textId="77777777" w:rsidR="00BC1F66" w:rsidRDefault="00BC1F66" w:rsidP="004A5E26">
      <w:pPr>
        <w:rPr>
          <w:i/>
          <w:iCs/>
          <w:sz w:val="26"/>
          <w:szCs w:val="26"/>
        </w:rPr>
      </w:pPr>
    </w:p>
    <w:p w14:paraId="089EC79E" w14:textId="77777777" w:rsidR="004A5E26" w:rsidRDefault="004A5E26" w:rsidP="00B902F5">
      <w:pPr>
        <w:ind w:left="2880" w:firstLine="72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[Attorney’s name]</w:t>
      </w:r>
    </w:p>
    <w:p w14:paraId="4E5CAD5F" w14:textId="77777777" w:rsidR="004A5E26" w:rsidRDefault="004A5E26" w:rsidP="00B902F5">
      <w:pPr>
        <w:ind w:left="2880" w:firstLine="72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2FA21915" w14:textId="77777777" w:rsidR="009D0A1A" w:rsidRDefault="009D0A1A" w:rsidP="00B902F5">
      <w:pPr>
        <w:ind w:left="2880" w:firstLine="720"/>
        <w:rPr>
          <w:sz w:val="26"/>
          <w:szCs w:val="26"/>
        </w:rPr>
      </w:pPr>
    </w:p>
    <w:p w14:paraId="265E7269" w14:textId="613C3094" w:rsidR="00B902F5" w:rsidRDefault="004A5E26" w:rsidP="004A5E2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902F5">
        <w:rPr>
          <w:sz w:val="26"/>
          <w:szCs w:val="26"/>
        </w:rPr>
        <w:tab/>
      </w:r>
      <w:r>
        <w:rPr>
          <w:sz w:val="26"/>
          <w:szCs w:val="26"/>
        </w:rPr>
        <w:t>Attorney for Defendant</w:t>
      </w:r>
      <w:r w:rsidR="00B902F5">
        <w:rPr>
          <w:sz w:val="26"/>
          <w:szCs w:val="26"/>
        </w:rPr>
        <w:t xml:space="preserve"> </w:t>
      </w:r>
    </w:p>
    <w:p w14:paraId="5473FF76" w14:textId="1057E6BC" w:rsidR="004A5E26" w:rsidRDefault="00B902F5" w:rsidP="00B902F5">
      <w:pPr>
        <w:ind w:left="2880" w:firstLine="720"/>
        <w:rPr>
          <w:rFonts w:ascii="Arial" w:hAnsi="Arial" w:cs="Arial"/>
          <w:color w:val="0000FF"/>
          <w:sz w:val="26"/>
          <w:szCs w:val="26"/>
        </w:rPr>
      </w:pPr>
      <w:r>
        <w:rPr>
          <w:sz w:val="26"/>
          <w:szCs w:val="26"/>
        </w:rPr>
        <w:t>and Appellant</w:t>
      </w:r>
      <w:r w:rsidR="004A5E26">
        <w:rPr>
          <w:sz w:val="26"/>
          <w:szCs w:val="26"/>
        </w:rPr>
        <w:t xml:space="preserve"> </w:t>
      </w:r>
      <w:r w:rsidR="004A5E26">
        <w:rPr>
          <w:i/>
          <w:iCs/>
          <w:color w:val="0000FF"/>
          <w:sz w:val="26"/>
          <w:szCs w:val="26"/>
        </w:rPr>
        <w:t>[name]</w:t>
      </w:r>
    </w:p>
    <w:p w14:paraId="011C2591" w14:textId="77777777" w:rsidR="004A5E26" w:rsidRDefault="004A5E26" w:rsidP="004A5E26">
      <w:pPr>
        <w:rPr>
          <w:sz w:val="26"/>
          <w:szCs w:val="26"/>
        </w:rPr>
        <w:sectPr w:rsidR="004A5E26" w:rsidSect="00A6295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2160" w:bottom="1440" w:left="2160" w:header="1440" w:footer="1440" w:gutter="0"/>
          <w:pgNumType w:start="0"/>
          <w:cols w:space="720"/>
          <w:titlePg/>
          <w:docGrid w:linePitch="272"/>
        </w:sectPr>
      </w:pPr>
    </w:p>
    <w:p w14:paraId="2FD9DB08" w14:textId="77777777" w:rsidR="00EF0FAD" w:rsidRDefault="004A5E26" w:rsidP="004A5E26">
      <w:pPr>
        <w:jc w:val="center"/>
      </w:pPr>
      <w:r>
        <w:rPr>
          <w:b/>
          <w:bCs/>
          <w:sz w:val="26"/>
          <w:szCs w:val="26"/>
        </w:rPr>
        <w:lastRenderedPageBreak/>
        <w:t>PROOF OF SERVICE</w:t>
      </w:r>
    </w:p>
    <w:sectPr w:rsidR="00EF0FAD" w:rsidSect="00EF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33F4" w14:textId="77777777" w:rsidR="003D33EA" w:rsidRDefault="003D33EA" w:rsidP="001C1B61">
      <w:r>
        <w:separator/>
      </w:r>
    </w:p>
  </w:endnote>
  <w:endnote w:type="continuationSeparator" w:id="0">
    <w:p w14:paraId="4D4E001B" w14:textId="77777777" w:rsidR="003D33EA" w:rsidRDefault="003D33EA" w:rsidP="001C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42B5" w14:textId="77777777" w:rsidR="001C1B61" w:rsidRDefault="001C1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3117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6546E" w14:textId="3ECFD607" w:rsidR="001C1B61" w:rsidRDefault="001C1B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25114" w14:textId="77777777" w:rsidR="001C1B61" w:rsidRDefault="001C1B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5D2C" w14:textId="77777777" w:rsidR="001C1B61" w:rsidRDefault="001C1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0B4C9" w14:textId="77777777" w:rsidR="003D33EA" w:rsidRDefault="003D33EA" w:rsidP="001C1B61">
      <w:r>
        <w:separator/>
      </w:r>
    </w:p>
  </w:footnote>
  <w:footnote w:type="continuationSeparator" w:id="0">
    <w:p w14:paraId="7F14EF11" w14:textId="77777777" w:rsidR="003D33EA" w:rsidRDefault="003D33EA" w:rsidP="001C1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BE207" w14:textId="77777777" w:rsidR="001C1B61" w:rsidRDefault="001C1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50800" w14:textId="77777777" w:rsidR="001C1B61" w:rsidRDefault="001C1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4325" w14:textId="77777777" w:rsidR="001C1B61" w:rsidRDefault="001C1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AD8"/>
    <w:multiLevelType w:val="hybridMultilevel"/>
    <w:tmpl w:val="A598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4199"/>
    <w:multiLevelType w:val="hybridMultilevel"/>
    <w:tmpl w:val="9DDC9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23547"/>
    <w:multiLevelType w:val="hybridMultilevel"/>
    <w:tmpl w:val="DBA26444"/>
    <w:lvl w:ilvl="0" w:tplc="6CD4A2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346DD"/>
    <w:multiLevelType w:val="hybridMultilevel"/>
    <w:tmpl w:val="ED161372"/>
    <w:lvl w:ilvl="0" w:tplc="ED36C8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6258"/>
    <w:multiLevelType w:val="hybridMultilevel"/>
    <w:tmpl w:val="40E29BAA"/>
    <w:lvl w:ilvl="0" w:tplc="8976DE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6539"/>
    <w:multiLevelType w:val="hybridMultilevel"/>
    <w:tmpl w:val="8DB4D08C"/>
    <w:lvl w:ilvl="0" w:tplc="B0287C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5428"/>
    <w:multiLevelType w:val="multilevel"/>
    <w:tmpl w:val="751E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67CD8"/>
    <w:multiLevelType w:val="hybridMultilevel"/>
    <w:tmpl w:val="ABBCC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49B0"/>
    <w:multiLevelType w:val="hybridMultilevel"/>
    <w:tmpl w:val="696CF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4182D"/>
    <w:multiLevelType w:val="hybridMultilevel"/>
    <w:tmpl w:val="4BD0CAE4"/>
    <w:lvl w:ilvl="0" w:tplc="ADA044F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76C4"/>
    <w:multiLevelType w:val="hybridMultilevel"/>
    <w:tmpl w:val="23FCDD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FE0130"/>
    <w:multiLevelType w:val="hybridMultilevel"/>
    <w:tmpl w:val="CB005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8570">
    <w:abstractNumId w:val="9"/>
  </w:num>
  <w:num w:numId="2" w16cid:durableId="383408594">
    <w:abstractNumId w:val="1"/>
  </w:num>
  <w:num w:numId="3" w16cid:durableId="2076079847">
    <w:abstractNumId w:val="0"/>
  </w:num>
  <w:num w:numId="4" w16cid:durableId="993919099">
    <w:abstractNumId w:val="11"/>
  </w:num>
  <w:num w:numId="5" w16cid:durableId="1799296984">
    <w:abstractNumId w:val="3"/>
  </w:num>
  <w:num w:numId="6" w16cid:durableId="1787117839">
    <w:abstractNumId w:val="5"/>
  </w:num>
  <w:num w:numId="7" w16cid:durableId="2027320444">
    <w:abstractNumId w:val="10"/>
  </w:num>
  <w:num w:numId="8" w16cid:durableId="924873984">
    <w:abstractNumId w:val="2"/>
  </w:num>
  <w:num w:numId="9" w16cid:durableId="1333416129">
    <w:abstractNumId w:val="4"/>
  </w:num>
  <w:num w:numId="10" w16cid:durableId="220600568">
    <w:abstractNumId w:val="8"/>
  </w:num>
  <w:num w:numId="11" w16cid:durableId="580065540">
    <w:abstractNumId w:val="7"/>
  </w:num>
  <w:num w:numId="12" w16cid:durableId="328023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26"/>
    <w:rsid w:val="00007E56"/>
    <w:rsid w:val="00041D67"/>
    <w:rsid w:val="000479AF"/>
    <w:rsid w:val="00050F75"/>
    <w:rsid w:val="00054D75"/>
    <w:rsid w:val="000A2F45"/>
    <w:rsid w:val="000A6F5B"/>
    <w:rsid w:val="000B106B"/>
    <w:rsid w:val="000B3148"/>
    <w:rsid w:val="0013106E"/>
    <w:rsid w:val="00145517"/>
    <w:rsid w:val="001542BB"/>
    <w:rsid w:val="00171FA2"/>
    <w:rsid w:val="001825B6"/>
    <w:rsid w:val="001C1B61"/>
    <w:rsid w:val="001C39F4"/>
    <w:rsid w:val="001C6801"/>
    <w:rsid w:val="001D596A"/>
    <w:rsid w:val="00212038"/>
    <w:rsid w:val="00230758"/>
    <w:rsid w:val="00230BF6"/>
    <w:rsid w:val="00251E6E"/>
    <w:rsid w:val="002A464B"/>
    <w:rsid w:val="00312144"/>
    <w:rsid w:val="003267D7"/>
    <w:rsid w:val="00331D48"/>
    <w:rsid w:val="00366D56"/>
    <w:rsid w:val="003A44A2"/>
    <w:rsid w:val="003A4F19"/>
    <w:rsid w:val="003B0E75"/>
    <w:rsid w:val="003B5AAA"/>
    <w:rsid w:val="003D33EA"/>
    <w:rsid w:val="003F3A13"/>
    <w:rsid w:val="00406C93"/>
    <w:rsid w:val="004207BA"/>
    <w:rsid w:val="004250AC"/>
    <w:rsid w:val="00427389"/>
    <w:rsid w:val="00454062"/>
    <w:rsid w:val="0045732C"/>
    <w:rsid w:val="004671DE"/>
    <w:rsid w:val="004A5E26"/>
    <w:rsid w:val="005019F8"/>
    <w:rsid w:val="00501A59"/>
    <w:rsid w:val="00527A64"/>
    <w:rsid w:val="0054152F"/>
    <w:rsid w:val="00546802"/>
    <w:rsid w:val="00547AC4"/>
    <w:rsid w:val="00547DF2"/>
    <w:rsid w:val="00550AD2"/>
    <w:rsid w:val="00567208"/>
    <w:rsid w:val="005966AD"/>
    <w:rsid w:val="005B5891"/>
    <w:rsid w:val="005D14BC"/>
    <w:rsid w:val="005D449B"/>
    <w:rsid w:val="005D79CB"/>
    <w:rsid w:val="005F35E1"/>
    <w:rsid w:val="006033FE"/>
    <w:rsid w:val="0060713A"/>
    <w:rsid w:val="0062071B"/>
    <w:rsid w:val="00624402"/>
    <w:rsid w:val="006734E2"/>
    <w:rsid w:val="006A2EFC"/>
    <w:rsid w:val="006A60B2"/>
    <w:rsid w:val="006D5CA3"/>
    <w:rsid w:val="006E49E7"/>
    <w:rsid w:val="006F181A"/>
    <w:rsid w:val="007062D9"/>
    <w:rsid w:val="00730E9F"/>
    <w:rsid w:val="0074537F"/>
    <w:rsid w:val="007479EA"/>
    <w:rsid w:val="00756679"/>
    <w:rsid w:val="007F40DB"/>
    <w:rsid w:val="00826CDD"/>
    <w:rsid w:val="00832E98"/>
    <w:rsid w:val="00850109"/>
    <w:rsid w:val="0085712C"/>
    <w:rsid w:val="00862CE2"/>
    <w:rsid w:val="00865774"/>
    <w:rsid w:val="00872E1E"/>
    <w:rsid w:val="0087331A"/>
    <w:rsid w:val="00884712"/>
    <w:rsid w:val="008C03D2"/>
    <w:rsid w:val="008D5ED9"/>
    <w:rsid w:val="008E5432"/>
    <w:rsid w:val="008F47E7"/>
    <w:rsid w:val="009006EC"/>
    <w:rsid w:val="009031D3"/>
    <w:rsid w:val="009164DB"/>
    <w:rsid w:val="00923D6E"/>
    <w:rsid w:val="0093651E"/>
    <w:rsid w:val="00956A94"/>
    <w:rsid w:val="00973D08"/>
    <w:rsid w:val="0098230E"/>
    <w:rsid w:val="009872FD"/>
    <w:rsid w:val="009A5AF3"/>
    <w:rsid w:val="009D0A1A"/>
    <w:rsid w:val="009D0EB3"/>
    <w:rsid w:val="009E440F"/>
    <w:rsid w:val="009E5FFD"/>
    <w:rsid w:val="009F7876"/>
    <w:rsid w:val="00A55579"/>
    <w:rsid w:val="00A61D4B"/>
    <w:rsid w:val="00A6295D"/>
    <w:rsid w:val="00A62E82"/>
    <w:rsid w:val="00A82A24"/>
    <w:rsid w:val="00A841CA"/>
    <w:rsid w:val="00AB3AFF"/>
    <w:rsid w:val="00AB3EF9"/>
    <w:rsid w:val="00AD581E"/>
    <w:rsid w:val="00AE522F"/>
    <w:rsid w:val="00B041C8"/>
    <w:rsid w:val="00B12257"/>
    <w:rsid w:val="00B13BD5"/>
    <w:rsid w:val="00B27358"/>
    <w:rsid w:val="00B62C2B"/>
    <w:rsid w:val="00B76EFA"/>
    <w:rsid w:val="00B902F5"/>
    <w:rsid w:val="00BA3390"/>
    <w:rsid w:val="00BB4A39"/>
    <w:rsid w:val="00BC05E4"/>
    <w:rsid w:val="00BC1F66"/>
    <w:rsid w:val="00BC593E"/>
    <w:rsid w:val="00BD2224"/>
    <w:rsid w:val="00BD3D8F"/>
    <w:rsid w:val="00BD4455"/>
    <w:rsid w:val="00BE4A47"/>
    <w:rsid w:val="00BF7F48"/>
    <w:rsid w:val="00C06DDF"/>
    <w:rsid w:val="00C100B5"/>
    <w:rsid w:val="00C148F0"/>
    <w:rsid w:val="00C75DE1"/>
    <w:rsid w:val="00C83B06"/>
    <w:rsid w:val="00D16DD1"/>
    <w:rsid w:val="00D26840"/>
    <w:rsid w:val="00D31FE6"/>
    <w:rsid w:val="00D32721"/>
    <w:rsid w:val="00D57A2A"/>
    <w:rsid w:val="00D73E5B"/>
    <w:rsid w:val="00DA1665"/>
    <w:rsid w:val="00DB08C8"/>
    <w:rsid w:val="00DB6EC0"/>
    <w:rsid w:val="00E00CF0"/>
    <w:rsid w:val="00E33808"/>
    <w:rsid w:val="00E34A6C"/>
    <w:rsid w:val="00E370D3"/>
    <w:rsid w:val="00E61855"/>
    <w:rsid w:val="00E7025C"/>
    <w:rsid w:val="00E76DB6"/>
    <w:rsid w:val="00E77921"/>
    <w:rsid w:val="00E85BC9"/>
    <w:rsid w:val="00E901A3"/>
    <w:rsid w:val="00EC42B5"/>
    <w:rsid w:val="00ED0F39"/>
    <w:rsid w:val="00EE02AF"/>
    <w:rsid w:val="00EF0FAD"/>
    <w:rsid w:val="00F26047"/>
    <w:rsid w:val="00F40439"/>
    <w:rsid w:val="00F52ABE"/>
    <w:rsid w:val="00F53A09"/>
    <w:rsid w:val="00F63C46"/>
    <w:rsid w:val="00F76938"/>
    <w:rsid w:val="00F903D4"/>
    <w:rsid w:val="00FB5C18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1053"/>
  <w15:docId w15:val="{2F224CA1-75D6-43BA-B135-E523BE20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Format1">
    <w:name w:val="QuickFormat1"/>
    <w:uiPriority w:val="99"/>
    <w:rsid w:val="004A5E26"/>
    <w:rPr>
      <w:i/>
      <w:iCs/>
      <w:color w:val="0000D6"/>
      <w:sz w:val="26"/>
      <w:szCs w:val="26"/>
    </w:rPr>
  </w:style>
  <w:style w:type="character" w:customStyle="1" w:styleId="SYSHYPERTEXT">
    <w:name w:val="SYS_HYPERTEXT"/>
    <w:uiPriority w:val="99"/>
    <w:rsid w:val="004A5E26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6D5C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CA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3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54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B6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1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B6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i-sandiego.com/legal-resources/general-appellate-practice/confidential-record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di-sandiego.com/practice/pract_articles.a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i-sandiego.com/panel/manual.a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i-sandiego.com/legal-resources/fourth-district-resourc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21277-69FE-40AD-A627-E540838F1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F1AD6-27D9-4BB0-8D03-81F4A38690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ADBEA-C69B-4C9F-AD85-7B492E433CB2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4.xml><?xml version="1.0" encoding="utf-8"?>
<ds:datastoreItem xmlns:ds="http://schemas.openxmlformats.org/officeDocument/2006/customXml" ds:itemID="{6F54A5D4-BC56-49BB-9DE1-C0678CD453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1065</Words>
  <Characters>6077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Loleena Ansari</dc:creator>
  <cp:lastModifiedBy>Anna M. Jauregui-Law</cp:lastModifiedBy>
  <cp:revision>2</cp:revision>
  <cp:lastPrinted>2017-05-05T20:18:00Z</cp:lastPrinted>
  <dcterms:created xsi:type="dcterms:W3CDTF">2024-10-30T18:09:00Z</dcterms:created>
  <dcterms:modified xsi:type="dcterms:W3CDTF">2024-10-30T18:09:00Z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