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74" w:rsidRDefault="00FD0915" w:rsidP="00125374">
      <w:pPr>
        <w:ind w:left="720"/>
        <w:rPr>
          <w:rFonts w:ascii="Arial" w:hAnsi="Arial" w:cs="Arial"/>
          <w:color w:val="0000FF"/>
        </w:rPr>
      </w:pPr>
      <w:r>
        <w:rPr>
          <w:sz w:val="24"/>
          <w:szCs w:val="24"/>
          <w:lang w:val="en-CA"/>
        </w:rPr>
        <w:fldChar w:fldCharType="begin"/>
      </w:r>
      <w:r w:rsidR="00125374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0" w:type="auto"/>
        <w:jc w:val="center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7920"/>
      </w:tblGrid>
      <w:tr w:rsidR="00125374" w:rsidTr="00125374">
        <w:trPr>
          <w:cantSplit/>
          <w:jc w:val="center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74" w:rsidRDefault="00125374">
            <w:pPr>
              <w:spacing w:before="100"/>
              <w:rPr>
                <w:rFonts w:ascii="Arial" w:hAnsi="Arial" w:cs="Arial"/>
                <w:color w:val="0000FF"/>
              </w:rPr>
            </w:pPr>
          </w:p>
          <w:p w:rsidR="00125374" w:rsidRDefault="00125374">
            <w:pPr>
              <w:rPr>
                <w:rFonts w:ascii="Arial" w:hAnsi="Arial" w:cs="Arial"/>
                <w:color w:val="0000D6"/>
              </w:rPr>
            </w:pPr>
            <w:r>
              <w:rPr>
                <w:rFonts w:ascii="Arial" w:hAnsi="Arial" w:cs="Arial"/>
                <w:color w:val="0000FF"/>
              </w:rPr>
              <w:t xml:space="preserve">Parts in blue print are instructions to user, not to be included in filed document unless so noted. </w:t>
            </w:r>
            <w:r>
              <w:rPr>
                <w:rFonts w:ascii="Arial" w:hAnsi="Arial" w:cs="Arial"/>
                <w:color w:val="008000"/>
              </w:rPr>
              <w:t>[Parts and references in green font, if any, refer to juvenile proceedings. See Practice Note, this web page, for guidance in adapting forms to juvenile cases.]</w:t>
            </w:r>
          </w:p>
          <w:p w:rsidR="00125374" w:rsidRDefault="00125374">
            <w:pPr>
              <w:ind w:left="840"/>
              <w:rPr>
                <w:rFonts w:ascii="Arial" w:hAnsi="Arial" w:cs="Arial"/>
                <w:color w:val="0000D6"/>
              </w:rPr>
            </w:pPr>
          </w:p>
          <w:p w:rsidR="00125374" w:rsidRDefault="00125374">
            <w:pPr>
              <w:ind w:left="84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Practice Tip</w:t>
            </w:r>
            <w:r>
              <w:rPr>
                <w:rFonts w:ascii="Arial" w:hAnsi="Arial" w:cs="Arial"/>
                <w:color w:val="0000FF"/>
              </w:rPr>
              <w:t xml:space="preserve">:  Various California laws and policies protect certain information from public disclosure in court records. Some are described on ADI’s web pages on </w:t>
            </w:r>
            <w:hyperlink r:id="rId4" w:history="1">
              <w:r>
                <w:rPr>
                  <w:rFonts w:ascii="Arial" w:hAnsi="Arial" w:cs="Arial"/>
                  <w:color w:val="0000FF"/>
                  <w:u w:val="single"/>
                </w:rPr>
                <w:t>confidential records</w:t>
              </w:r>
            </w:hyperlink>
            <w:r>
              <w:rPr>
                <w:rFonts w:ascii="Arial" w:hAnsi="Arial" w:cs="Arial"/>
                <w:color w:val="0000FF"/>
              </w:rPr>
              <w:t>. Be sure to familiarize yourself with these provisions and the precautions that need to be taken</w:t>
            </w:r>
            <w:r w:rsidR="00BA60BA">
              <w:rPr>
                <w:rFonts w:ascii="Arial" w:hAnsi="Arial" w:cs="Arial"/>
                <w:color w:val="0000FF"/>
              </w:rPr>
              <w:t>.</w:t>
            </w:r>
            <w:r>
              <w:rPr>
                <w:rFonts w:ascii="Arial" w:hAnsi="Arial" w:cs="Arial"/>
                <w:color w:val="0000FF"/>
              </w:rPr>
              <w:t xml:space="preserve"> See also chapter 3, § 3.7 et seq. of the </w:t>
            </w:r>
            <w:hyperlink r:id="rId5" w:history="1">
              <w:r>
                <w:rPr>
                  <w:rFonts w:ascii="Arial" w:hAnsi="Arial" w:cs="Arial"/>
                  <w:color w:val="0000FF"/>
                  <w:u w:val="single"/>
                </w:rPr>
                <w:t>ADI Ma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ual</w:t>
              </w:r>
            </w:hyperlink>
            <w:r>
              <w:rPr>
                <w:rFonts w:ascii="Arial" w:hAnsi="Arial" w:cs="Arial"/>
                <w:color w:val="0000FF"/>
              </w:rPr>
              <w:t>.</w:t>
            </w:r>
          </w:p>
          <w:p w:rsidR="00125374" w:rsidRDefault="00125374">
            <w:pPr>
              <w:ind w:left="840"/>
              <w:rPr>
                <w:rFonts w:ascii="Arial" w:hAnsi="Arial" w:cs="Arial"/>
                <w:color w:val="0000FF"/>
              </w:rPr>
            </w:pPr>
          </w:p>
          <w:p w:rsidR="00125374" w:rsidRDefault="00125374">
            <w:pPr>
              <w:ind w:left="84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Practice Tip</w:t>
            </w:r>
            <w:r>
              <w:rPr>
                <w:rFonts w:ascii="Arial" w:hAnsi="Arial" w:cs="Arial"/>
                <w:color w:val="0000FF"/>
              </w:rPr>
              <w:t xml:space="preserve">: Counsel should be aware that the confidential information may be revealed in audio portions of the record, as well as written transcripts.  </w:t>
            </w:r>
          </w:p>
          <w:p w:rsidR="00125374" w:rsidRDefault="00125374">
            <w:pPr>
              <w:ind w:left="840"/>
              <w:rPr>
                <w:rFonts w:ascii="Arial" w:hAnsi="Arial" w:cs="Arial"/>
                <w:color w:val="0000FF"/>
              </w:rPr>
            </w:pPr>
          </w:p>
          <w:p w:rsidR="00125374" w:rsidRDefault="00125374">
            <w:pPr>
              <w:ind w:left="84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Practice Tip</w:t>
            </w:r>
            <w:r>
              <w:rPr>
                <w:rFonts w:ascii="Arial" w:hAnsi="Arial" w:cs="Arial"/>
                <w:color w:val="0000FF"/>
              </w:rPr>
              <w:t>: Identity may be compromised in other ways than disclosure of an individual’s name. If the full name of a family member with the same last name is given, for example, or other identifying information is provided, some members of the public may be able to identify the protected person.</w:t>
            </w:r>
          </w:p>
          <w:p w:rsidR="00125374" w:rsidRDefault="00125374">
            <w:pPr>
              <w:ind w:left="840"/>
              <w:rPr>
                <w:rFonts w:ascii="Arial" w:hAnsi="Arial" w:cs="Arial"/>
                <w:color w:val="0000FF"/>
              </w:rPr>
            </w:pPr>
          </w:p>
          <w:p w:rsidR="00125374" w:rsidRDefault="00125374">
            <w:pPr>
              <w:ind w:left="156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Even if the information cannot be redacted from the entirety of the record, it should be minimized. (See Cal. Rules of Court, rule 8.401(a</w:t>
            </w:r>
            <w:proofErr w:type="gramStart"/>
            <w:r>
              <w:rPr>
                <w:rFonts w:ascii="Arial" w:hAnsi="Arial" w:cs="Arial"/>
                <w:color w:val="0000FF"/>
              </w:rPr>
              <w:t>)(</w:t>
            </w:r>
            <w:proofErr w:type="gramEnd"/>
            <w:r>
              <w:rPr>
                <w:rFonts w:ascii="Arial" w:hAnsi="Arial" w:cs="Arial"/>
                <w:color w:val="0000FF"/>
              </w:rPr>
              <w:t>3).)</w:t>
            </w:r>
          </w:p>
          <w:p w:rsidR="00125374" w:rsidRDefault="00125374">
            <w:pPr>
              <w:spacing w:after="38"/>
            </w:pPr>
          </w:p>
        </w:tc>
      </w:tr>
    </w:tbl>
    <w:p w:rsidR="00125374" w:rsidRDefault="00125374" w:rsidP="00125374">
      <w:pPr>
        <w:rPr>
          <w:rFonts w:ascii="Arial" w:hAnsi="Arial" w:cs="Arial"/>
          <w:color w:val="0000FF"/>
        </w:rPr>
      </w:pPr>
    </w:p>
    <w:p w:rsidR="00125374" w:rsidRDefault="00125374" w:rsidP="00125374">
      <w:pPr>
        <w:jc w:val="center"/>
        <w:rPr>
          <w:rFonts w:ascii="TmsRmn 8pt" w:hAnsi="TmsRmn 8pt" w:cs="TmsRmn 8pt"/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[Letterhead]</w:t>
      </w:r>
    </w:p>
    <w:p w:rsidR="00125374" w:rsidRDefault="00125374" w:rsidP="00125374">
      <w:pPr>
        <w:jc w:val="center"/>
        <w:rPr>
          <w:rFonts w:ascii="TmsRmn 8pt" w:hAnsi="TmsRmn 8pt" w:cs="TmsRmn 8pt"/>
          <w:i/>
          <w:iCs/>
          <w:color w:val="0000FF"/>
          <w:sz w:val="26"/>
          <w:szCs w:val="26"/>
        </w:rPr>
      </w:pPr>
    </w:p>
    <w:p w:rsidR="00125374" w:rsidRDefault="00125374" w:rsidP="00125374">
      <w:pPr>
        <w:jc w:val="center"/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[Date]</w:t>
      </w:r>
    </w:p>
    <w:p w:rsidR="00125374" w:rsidRDefault="00125374" w:rsidP="00125374">
      <w:pPr>
        <w:rPr>
          <w:i/>
          <w:iCs/>
          <w:color w:val="0000FF"/>
          <w:sz w:val="26"/>
          <w:szCs w:val="26"/>
        </w:rPr>
      </w:pPr>
    </w:p>
    <w:p w:rsidR="00125374" w:rsidRDefault="00125374" w:rsidP="00125374">
      <w:pPr>
        <w:rPr>
          <w:i/>
          <w:iCs/>
          <w:sz w:val="26"/>
          <w:szCs w:val="26"/>
        </w:rPr>
      </w:pPr>
      <w:r>
        <w:rPr>
          <w:sz w:val="26"/>
          <w:szCs w:val="26"/>
        </w:rPr>
        <w:t>[Mr</w:t>
      </w:r>
      <w:proofErr w:type="gramStart"/>
      <w:r>
        <w:rPr>
          <w:sz w:val="26"/>
          <w:szCs w:val="26"/>
        </w:rPr>
        <w:t>./</w:t>
      </w:r>
      <w:proofErr w:type="gramEnd"/>
      <w:r>
        <w:rPr>
          <w:sz w:val="26"/>
          <w:szCs w:val="26"/>
        </w:rPr>
        <w:t>Ms.]</w:t>
      </w:r>
      <w:r>
        <w:rPr>
          <w:i/>
          <w:iCs/>
          <w:color w:val="0000FF"/>
          <w:sz w:val="26"/>
          <w:szCs w:val="26"/>
        </w:rPr>
        <w:t xml:space="preserve"> [Court of Appeal clerk’s name]</w:t>
      </w:r>
    </w:p>
    <w:p w:rsidR="00125374" w:rsidRDefault="00125374" w:rsidP="00125374">
      <w:pPr>
        <w:rPr>
          <w:sz w:val="26"/>
          <w:szCs w:val="26"/>
        </w:rPr>
      </w:pPr>
      <w:r>
        <w:rPr>
          <w:sz w:val="26"/>
          <w:szCs w:val="26"/>
        </w:rPr>
        <w:t>Clerk of the Court/Chief Administrator</w:t>
      </w:r>
    </w:p>
    <w:p w:rsidR="00125374" w:rsidRDefault="00125374" w:rsidP="00125374">
      <w:pPr>
        <w:rPr>
          <w:sz w:val="26"/>
          <w:szCs w:val="26"/>
        </w:rPr>
      </w:pPr>
      <w:r>
        <w:rPr>
          <w:sz w:val="26"/>
          <w:szCs w:val="26"/>
        </w:rPr>
        <w:t xml:space="preserve">Court of Appeal, Fourth Appellate District, Division </w:t>
      </w:r>
      <w:r>
        <w:rPr>
          <w:i/>
          <w:iCs/>
          <w:color w:val="0000FF"/>
          <w:sz w:val="26"/>
          <w:szCs w:val="26"/>
        </w:rPr>
        <w:t>[One / Two / Three]</w:t>
      </w:r>
    </w:p>
    <w:p w:rsidR="00125374" w:rsidRDefault="00125374" w:rsidP="00125374">
      <w:pPr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[Address]</w:t>
      </w:r>
    </w:p>
    <w:p w:rsidR="00125374" w:rsidRDefault="00125374" w:rsidP="00125374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25374" w:rsidRDefault="00125374" w:rsidP="00125374">
      <w:pPr>
        <w:tabs>
          <w:tab w:val="left" w:pos="720"/>
          <w:tab w:val="left" w:pos="1440"/>
        </w:tabs>
        <w:ind w:left="1440" w:hanging="1440"/>
        <w:rPr>
          <w:i/>
          <w:iCs/>
          <w:color w:val="0000FF"/>
          <w:sz w:val="26"/>
          <w:szCs w:val="26"/>
        </w:rPr>
      </w:pPr>
      <w:r>
        <w:rPr>
          <w:sz w:val="26"/>
          <w:szCs w:val="26"/>
        </w:rPr>
        <w:tab/>
        <w:t>Re: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ab/>
        <w:t>People v</w:t>
      </w:r>
      <w:r>
        <w:rPr>
          <w:sz w:val="26"/>
          <w:szCs w:val="26"/>
        </w:rPr>
        <w:t xml:space="preserve">. </w:t>
      </w:r>
      <w:r>
        <w:rPr>
          <w:i/>
          <w:iCs/>
          <w:color w:val="0000FF"/>
          <w:sz w:val="26"/>
          <w:szCs w:val="26"/>
        </w:rPr>
        <w:t>[defendant’s name]</w:t>
      </w:r>
      <w:r>
        <w:rPr>
          <w:color w:val="008000"/>
          <w:sz w:val="26"/>
          <w:szCs w:val="26"/>
        </w:rPr>
        <w:t xml:space="preserve">/ </w:t>
      </w:r>
      <w:r>
        <w:rPr>
          <w:i/>
          <w:iCs/>
          <w:color w:val="008000"/>
          <w:sz w:val="26"/>
          <w:szCs w:val="26"/>
        </w:rPr>
        <w:t>In re [defendant’s first name, last initial]</w:t>
      </w:r>
    </w:p>
    <w:p w:rsidR="00125374" w:rsidRDefault="00125374" w:rsidP="00125374">
      <w:pPr>
        <w:tabs>
          <w:tab w:val="left" w:pos="720"/>
          <w:tab w:val="left" w:pos="1440"/>
        </w:tabs>
        <w:ind w:left="1440" w:hanging="14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Superior Court No.:  </w:t>
      </w:r>
      <w:r>
        <w:rPr>
          <w:i/>
          <w:iCs/>
          <w:color w:val="0000FF"/>
          <w:sz w:val="26"/>
          <w:szCs w:val="26"/>
        </w:rPr>
        <w:t>[case number]</w:t>
      </w:r>
    </w:p>
    <w:p w:rsidR="00125374" w:rsidRDefault="00125374" w:rsidP="0012537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Court of Appeal No.: </w:t>
      </w:r>
      <w:r>
        <w:rPr>
          <w:i/>
          <w:iCs/>
          <w:color w:val="0000FF"/>
          <w:sz w:val="26"/>
          <w:szCs w:val="26"/>
        </w:rPr>
        <w:t>[case number]</w:t>
      </w:r>
    </w:p>
    <w:p w:rsidR="00125374" w:rsidRDefault="00125374" w:rsidP="00125374">
      <w:pPr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 xml:space="preserve"> </w:t>
      </w:r>
    </w:p>
    <w:p w:rsidR="00125374" w:rsidRDefault="00125374" w:rsidP="00125374">
      <w:pPr>
        <w:ind w:left="1440"/>
        <w:rPr>
          <w:sz w:val="26"/>
          <w:szCs w:val="26"/>
        </w:rPr>
      </w:pPr>
      <w:r>
        <w:rPr>
          <w:sz w:val="26"/>
          <w:szCs w:val="26"/>
        </w:rPr>
        <w:t>Penal Code, § 293.5; California Rules of Court, rules 8.155(c</w:t>
      </w:r>
      <w:proofErr w:type="gramStart"/>
      <w:r>
        <w:rPr>
          <w:sz w:val="26"/>
          <w:szCs w:val="26"/>
        </w:rPr>
        <w:t>)(</w:t>
      </w:r>
      <w:proofErr w:type="gramEnd"/>
      <w:r>
        <w:rPr>
          <w:sz w:val="26"/>
          <w:szCs w:val="26"/>
        </w:rPr>
        <w:t>1), 8.340(c)</w:t>
      </w:r>
    </w:p>
    <w:p w:rsidR="00125374" w:rsidRDefault="00125374" w:rsidP="00125374">
      <w:pPr>
        <w:tabs>
          <w:tab w:val="left" w:pos="720"/>
          <w:tab w:val="left" w:pos="1440"/>
        </w:tabs>
        <w:ind w:left="1440" w:hanging="1440"/>
        <w:rPr>
          <w:color w:val="0000FF"/>
          <w:sz w:val="26"/>
          <w:szCs w:val="26"/>
        </w:rPr>
      </w:pP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sz w:val="26"/>
          <w:szCs w:val="26"/>
          <w:u w:val="single"/>
        </w:rPr>
        <w:t>Redaction of Protected Information</w:t>
      </w:r>
      <w:r>
        <w:rPr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[specify: victim/other protected person identity or other information]</w:t>
      </w:r>
    </w:p>
    <w:p w:rsidR="00125374" w:rsidRDefault="00125374" w:rsidP="00125374">
      <w:pPr>
        <w:tabs>
          <w:tab w:val="left" w:pos="720"/>
          <w:tab w:val="left" w:pos="1440"/>
        </w:tabs>
        <w:ind w:left="1440" w:hanging="72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      </w:t>
      </w:r>
      <w:r>
        <w:rPr>
          <w:color w:val="0000FF"/>
          <w:sz w:val="24"/>
          <w:szCs w:val="24"/>
        </w:rPr>
        <w:tab/>
      </w:r>
    </w:p>
    <w:p w:rsidR="00125374" w:rsidRDefault="00125374" w:rsidP="00125374">
      <w:pPr>
        <w:rPr>
          <w:sz w:val="26"/>
          <w:szCs w:val="26"/>
        </w:rPr>
      </w:pPr>
      <w:r>
        <w:rPr>
          <w:sz w:val="26"/>
          <w:szCs w:val="26"/>
        </w:rPr>
        <w:t>Dear [Mr</w:t>
      </w:r>
      <w:proofErr w:type="gramStart"/>
      <w:r>
        <w:rPr>
          <w:sz w:val="26"/>
          <w:szCs w:val="26"/>
        </w:rPr>
        <w:t>./</w:t>
      </w:r>
      <w:proofErr w:type="gramEnd"/>
      <w:r>
        <w:rPr>
          <w:sz w:val="26"/>
          <w:szCs w:val="26"/>
        </w:rPr>
        <w:t>Ms.]</w:t>
      </w:r>
      <w:r>
        <w:rPr>
          <w:i/>
          <w:iCs/>
          <w:color w:val="0000FF"/>
          <w:sz w:val="26"/>
          <w:szCs w:val="26"/>
        </w:rPr>
        <w:t xml:space="preserve"> [Court of Appeal clerk’s name]</w:t>
      </w:r>
      <w:r>
        <w:rPr>
          <w:sz w:val="26"/>
          <w:szCs w:val="26"/>
        </w:rPr>
        <w:t>:</w:t>
      </w:r>
    </w:p>
    <w:p w:rsidR="00125374" w:rsidRDefault="00125374" w:rsidP="00125374">
      <w:pPr>
        <w:rPr>
          <w:sz w:val="26"/>
          <w:szCs w:val="26"/>
        </w:rPr>
      </w:pPr>
    </w:p>
    <w:p w:rsidR="00125374" w:rsidRDefault="00125374" w:rsidP="0012537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As counsel for defendant in this case, I am calling to the court’s attention violations of California’s Nondisclosure of Identity policy in the appellate transcript.  </w:t>
      </w:r>
      <w:proofErr w:type="gramStart"/>
      <w:r>
        <w:rPr>
          <w:sz w:val="26"/>
          <w:szCs w:val="26"/>
        </w:rPr>
        <w:t>(Cal. Style Manual (4th ed. 2000) § 5.9 et seq.)</w:t>
      </w:r>
      <w:proofErr w:type="gramEnd"/>
      <w:r>
        <w:rPr>
          <w:sz w:val="26"/>
          <w:szCs w:val="26"/>
        </w:rPr>
        <w:t xml:space="preserve"> That policy protects against disclosure of personal identifying information of </w:t>
      </w:r>
      <w:proofErr w:type="gramStart"/>
      <w:r>
        <w:rPr>
          <w:sz w:val="26"/>
          <w:szCs w:val="26"/>
        </w:rPr>
        <w:t>certain  persons</w:t>
      </w:r>
      <w:proofErr w:type="gramEnd"/>
      <w:r>
        <w:rPr>
          <w:sz w:val="26"/>
          <w:szCs w:val="26"/>
        </w:rPr>
        <w:t xml:space="preserve">, such as living victims of sex crimes, </w:t>
      </w:r>
      <w:r>
        <w:rPr>
          <w:sz w:val="26"/>
          <w:szCs w:val="26"/>
        </w:rPr>
        <w:lastRenderedPageBreak/>
        <w:t xml:space="preserve">minors innocently involved in court proceedings, LPS </w:t>
      </w:r>
      <w:proofErr w:type="spellStart"/>
      <w:r>
        <w:rPr>
          <w:sz w:val="26"/>
          <w:szCs w:val="26"/>
        </w:rPr>
        <w:t>conservatees</w:t>
      </w:r>
      <w:proofErr w:type="spellEnd"/>
      <w:r>
        <w:rPr>
          <w:sz w:val="26"/>
          <w:szCs w:val="26"/>
        </w:rPr>
        <w:t>, trial jurors and sworn alternate jurors, and some victims and witnesses in criminal matters.  (</w:t>
      </w:r>
      <w:proofErr w:type="gramStart"/>
      <w:r>
        <w:rPr>
          <w:i/>
          <w:iCs/>
          <w:sz w:val="26"/>
          <w:szCs w:val="26"/>
        </w:rPr>
        <w:t>Ibid</w:t>
      </w:r>
      <w:r>
        <w:rPr>
          <w:sz w:val="26"/>
          <w:szCs w:val="26"/>
        </w:rPr>
        <w:t>.;</w:t>
      </w:r>
      <w:proofErr w:type="gramEnd"/>
      <w:r>
        <w:rPr>
          <w:sz w:val="26"/>
          <w:szCs w:val="26"/>
        </w:rPr>
        <w:t xml:space="preserve"> see also Pen. </w:t>
      </w:r>
      <w:proofErr w:type="gramStart"/>
      <w:r>
        <w:rPr>
          <w:sz w:val="26"/>
          <w:szCs w:val="26"/>
        </w:rPr>
        <w:t>Code, § 293.5.)</w:t>
      </w:r>
      <w:proofErr w:type="gramEnd"/>
      <w:r>
        <w:rPr>
          <w:sz w:val="26"/>
          <w:szCs w:val="26"/>
        </w:rPr>
        <w:t xml:space="preserve"> </w:t>
      </w:r>
    </w:p>
    <w:p w:rsidR="00125374" w:rsidRDefault="00125374" w:rsidP="00125374">
      <w:pPr>
        <w:rPr>
          <w:sz w:val="26"/>
          <w:szCs w:val="26"/>
        </w:rPr>
      </w:pPr>
    </w:p>
    <w:p w:rsidR="00125374" w:rsidRDefault="00125374" w:rsidP="00125374">
      <w:pPr>
        <w:rPr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 xml:space="preserve">[Describe type of violation. E.g.: identity of victim, minors, LPS </w:t>
      </w:r>
      <w:proofErr w:type="spellStart"/>
      <w:r>
        <w:rPr>
          <w:i/>
          <w:iCs/>
          <w:color w:val="0000FF"/>
          <w:sz w:val="26"/>
          <w:szCs w:val="26"/>
        </w:rPr>
        <w:t>conservatee</w:t>
      </w:r>
      <w:proofErr w:type="spellEnd"/>
      <w:r>
        <w:rPr>
          <w:i/>
          <w:iCs/>
          <w:color w:val="0000FF"/>
          <w:sz w:val="26"/>
          <w:szCs w:val="26"/>
        </w:rPr>
        <w:t>, etc. Provide citations to pages of record where violations occur.  Indicate where, if applicable, multiple violations occur on the same page.  If other than disclosure of a name, describe how the transcript contents can compromise anonymity.]</w:t>
      </w:r>
    </w:p>
    <w:p w:rsidR="00125374" w:rsidRDefault="00125374" w:rsidP="0012537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25374" w:rsidRDefault="00125374" w:rsidP="0012537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Counsel seeks the court’s guidance as to how the present record is to be redacted so as to eliminate references to the </w:t>
      </w:r>
      <w:r>
        <w:rPr>
          <w:i/>
          <w:iCs/>
          <w:color w:val="0000FF"/>
          <w:sz w:val="26"/>
          <w:szCs w:val="26"/>
        </w:rPr>
        <w:t>[identifying information]</w:t>
      </w:r>
      <w:r>
        <w:rPr>
          <w:sz w:val="26"/>
          <w:szCs w:val="26"/>
        </w:rPr>
        <w:t xml:space="preserve">. (See Cal. Rules of Court, rules 8.155(c)(1), 8.340(c).) </w:t>
      </w:r>
    </w:p>
    <w:p w:rsidR="00125374" w:rsidRDefault="00125374" w:rsidP="00125374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125374" w:rsidRDefault="00125374" w:rsidP="0012537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Respectfully submitted,</w:t>
      </w:r>
    </w:p>
    <w:p w:rsidR="00125374" w:rsidRDefault="00125374" w:rsidP="00125374">
      <w:pPr>
        <w:rPr>
          <w:sz w:val="26"/>
          <w:szCs w:val="26"/>
        </w:rPr>
      </w:pPr>
    </w:p>
    <w:p w:rsidR="00125374" w:rsidRDefault="00125374" w:rsidP="0012537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[Attorney’s name]</w:t>
      </w:r>
    </w:p>
    <w:p w:rsidR="00125374" w:rsidRDefault="00125374" w:rsidP="00125374">
      <w:pPr>
        <w:rPr>
          <w:b/>
          <w:bCs/>
          <w:color w:val="0000FF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State </w:t>
      </w:r>
      <w:proofErr w:type="gramStart"/>
      <w:r>
        <w:rPr>
          <w:sz w:val="26"/>
          <w:szCs w:val="26"/>
        </w:rPr>
        <w:t>Bar</w:t>
      </w:r>
      <w:proofErr w:type="gramEnd"/>
      <w:r>
        <w:rPr>
          <w:sz w:val="26"/>
          <w:szCs w:val="26"/>
        </w:rPr>
        <w:t xml:space="preserve"> No.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</w:p>
    <w:p w:rsidR="00125374" w:rsidRDefault="00125374" w:rsidP="00125374">
      <w:pPr>
        <w:ind w:left="4320"/>
        <w:rPr>
          <w:sz w:val="26"/>
          <w:szCs w:val="26"/>
        </w:rPr>
      </w:pPr>
      <w:r>
        <w:rPr>
          <w:sz w:val="26"/>
          <w:szCs w:val="26"/>
        </w:rPr>
        <w:t>Attorney for Defendant</w:t>
      </w:r>
      <w:r>
        <w:rPr>
          <w:b/>
          <w:bCs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</w:p>
    <w:p w:rsidR="00125374" w:rsidRDefault="00125374" w:rsidP="00125374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>PROOF OF SERVICE</w:t>
      </w:r>
    </w:p>
    <w:p w:rsidR="00F32F23" w:rsidRDefault="00F32F23"/>
    <w:sectPr w:rsidR="00F32F23" w:rsidSect="00125374">
      <w:pgSz w:w="12240" w:h="15840"/>
      <w:pgMar w:top="135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Rmn 8p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374"/>
    <w:rsid w:val="00125374"/>
    <w:rsid w:val="00847CD6"/>
    <w:rsid w:val="00BA60BA"/>
    <w:rsid w:val="00F32F23"/>
    <w:rsid w:val="00FD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i-sandiego.com/panel/manual.asp" TargetMode="External"/><Relationship Id="rId4" Type="http://schemas.openxmlformats.org/officeDocument/2006/relationships/hyperlink" Target="http://www.adi-sandiego.com/practice/conf_record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2690</Characters>
  <Application>Microsoft Office Word</Application>
  <DocSecurity>0</DocSecurity>
  <Lines>72</Lines>
  <Paragraphs>30</Paragraphs>
  <ScaleCrop>false</ScaleCrop>
  <Company>Appellate Defenders, Inc.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Loleena Ansari</dc:creator>
  <cp:keywords/>
  <dc:description/>
  <cp:lastModifiedBy>Loleena Ansari</cp:lastModifiedBy>
  <cp:revision>3</cp:revision>
  <dcterms:created xsi:type="dcterms:W3CDTF">2014-01-15T18:21:00Z</dcterms:created>
  <dcterms:modified xsi:type="dcterms:W3CDTF">2014-03-04T19:27:00Z</dcterms:modified>
</cp:coreProperties>
</file>